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81E4C" w14:textId="77777777" w:rsidR="00E850A3" w:rsidRDefault="00E850A3" w:rsidP="00302365">
      <w:pPr>
        <w:jc w:val="center"/>
        <w:rPr>
          <w:b/>
          <w:color w:val="002060"/>
        </w:rPr>
      </w:pPr>
    </w:p>
    <w:p w14:paraId="247206D6" w14:textId="77777777" w:rsidR="00E850A3" w:rsidRDefault="00E850A3" w:rsidP="00302365">
      <w:pPr>
        <w:jc w:val="center"/>
        <w:rPr>
          <w:b/>
          <w:color w:val="002060"/>
        </w:rPr>
      </w:pPr>
    </w:p>
    <w:p w14:paraId="67C78347" w14:textId="77777777" w:rsidR="00E850A3" w:rsidRDefault="00E850A3" w:rsidP="00302365">
      <w:pPr>
        <w:jc w:val="center"/>
        <w:rPr>
          <w:b/>
          <w:color w:val="002060"/>
        </w:rPr>
      </w:pPr>
    </w:p>
    <w:p w14:paraId="38312B6B" w14:textId="457D0221" w:rsidR="00302365" w:rsidRPr="009D1EDE" w:rsidRDefault="00302365" w:rsidP="009D1EDE">
      <w:pPr>
        <w:pStyle w:val="Title"/>
        <w:jc w:val="center"/>
        <w:rPr>
          <w:rFonts w:ascii="Arial" w:hAnsi="Arial" w:cs="Arial"/>
          <w:b/>
          <w:color w:val="002060"/>
          <w:sz w:val="28"/>
          <w:szCs w:val="28"/>
        </w:rPr>
      </w:pPr>
      <w:r w:rsidRPr="009D1EDE">
        <w:rPr>
          <w:rFonts w:ascii="Arial" w:hAnsi="Arial" w:cs="Arial"/>
          <w:b/>
          <w:color w:val="002060"/>
          <w:sz w:val="28"/>
          <w:szCs w:val="28"/>
        </w:rPr>
        <w:t>MODEL EQUAL OPPORTUNITIES POLICY</w:t>
      </w:r>
    </w:p>
    <w:p w14:paraId="515B6D1B" w14:textId="77777777" w:rsidR="00302365" w:rsidRDefault="00302365" w:rsidP="00173262">
      <w:pPr>
        <w:rPr>
          <w:rFonts w:cs="Arial"/>
          <w:b/>
          <w:color w:val="800000"/>
          <w:sz w:val="24"/>
        </w:rPr>
      </w:pPr>
    </w:p>
    <w:p w14:paraId="3B75785B" w14:textId="77777777" w:rsidR="004C01E1" w:rsidRPr="009D1EDE" w:rsidRDefault="00726321" w:rsidP="00E850A3">
      <w:pPr>
        <w:pStyle w:val="Heading1"/>
        <w:rPr>
          <w:color w:val="791344"/>
          <w:sz w:val="24"/>
        </w:rPr>
      </w:pPr>
      <w:r w:rsidRPr="009D1EDE">
        <w:rPr>
          <w:color w:val="791344"/>
          <w:sz w:val="24"/>
        </w:rPr>
        <w:t>1. INTRODUCTION</w:t>
      </w:r>
    </w:p>
    <w:p w14:paraId="249702D8" w14:textId="77777777" w:rsidR="00302365" w:rsidRPr="008A0B99" w:rsidRDefault="00302365" w:rsidP="00173262">
      <w:pPr>
        <w:rPr>
          <w:rFonts w:cs="Arial"/>
          <w:b/>
          <w:color w:val="800000"/>
          <w:sz w:val="24"/>
        </w:rPr>
      </w:pPr>
    </w:p>
    <w:p w14:paraId="00815180" w14:textId="5A0A91C2" w:rsidR="00DE320A" w:rsidRDefault="00B0403B" w:rsidP="00DE320A">
      <w:pPr>
        <w:rPr>
          <w:rFonts w:cs="Arial"/>
          <w:sz w:val="24"/>
        </w:rPr>
      </w:pPr>
      <w:r w:rsidRPr="00DE320A">
        <w:rPr>
          <w:rFonts w:cs="Arial"/>
          <w:sz w:val="24"/>
        </w:rPr>
        <w:t xml:space="preserve">We are an </w:t>
      </w:r>
      <w:r w:rsidRPr="00DE320A">
        <w:rPr>
          <w:rFonts w:cs="Arial"/>
          <w:i/>
          <w:sz w:val="24"/>
        </w:rPr>
        <w:t>equal opportunities employer</w:t>
      </w:r>
      <w:r w:rsidRPr="00DE320A">
        <w:rPr>
          <w:rFonts w:cs="Arial"/>
          <w:sz w:val="24"/>
        </w:rPr>
        <w:t xml:space="preserve">. This means that we will make </w:t>
      </w:r>
      <w:r w:rsidR="003F26FA">
        <w:rPr>
          <w:rFonts w:cs="Arial"/>
          <w:sz w:val="24"/>
        </w:rPr>
        <w:t xml:space="preserve">every </w:t>
      </w:r>
      <w:r w:rsidRPr="00DE320A">
        <w:rPr>
          <w:rFonts w:cs="Arial"/>
          <w:sz w:val="24"/>
        </w:rPr>
        <w:t xml:space="preserve">good faith effort to comply with the </w:t>
      </w:r>
      <w:r w:rsidR="0093075A" w:rsidRPr="00DE320A">
        <w:rPr>
          <w:rFonts w:cs="Arial"/>
          <w:sz w:val="24"/>
        </w:rPr>
        <w:t xml:space="preserve">spirit and letter of the </w:t>
      </w:r>
      <w:r w:rsidRPr="00DE320A">
        <w:rPr>
          <w:rFonts w:cs="Arial"/>
          <w:sz w:val="24"/>
        </w:rPr>
        <w:t>equality laws</w:t>
      </w:r>
      <w:r w:rsidR="00146643" w:rsidRPr="00DE320A">
        <w:rPr>
          <w:rFonts w:cs="Arial"/>
          <w:sz w:val="24"/>
        </w:rPr>
        <w:t>.</w:t>
      </w:r>
    </w:p>
    <w:p w14:paraId="7B638271" w14:textId="77777777" w:rsidR="00DE320A" w:rsidRDefault="00DE320A" w:rsidP="00DE320A">
      <w:pPr>
        <w:rPr>
          <w:rFonts w:cs="Arial"/>
          <w:sz w:val="24"/>
        </w:rPr>
      </w:pPr>
    </w:p>
    <w:p w14:paraId="25FC4D83" w14:textId="325F6987" w:rsidR="00DE320A" w:rsidRDefault="00DE320A" w:rsidP="00DE320A">
      <w:pPr>
        <w:rPr>
          <w:noProof/>
          <w:sz w:val="24"/>
        </w:rPr>
      </w:pPr>
      <w:r w:rsidRPr="00DE320A">
        <w:rPr>
          <w:noProof/>
          <w:sz w:val="24"/>
        </w:rPr>
        <w:t xml:space="preserve">We </w:t>
      </w:r>
      <w:r w:rsidR="00274C7A">
        <w:rPr>
          <w:noProof/>
          <w:sz w:val="24"/>
        </w:rPr>
        <w:t xml:space="preserve">will </w:t>
      </w:r>
      <w:r w:rsidRPr="00DE320A">
        <w:rPr>
          <w:noProof/>
          <w:sz w:val="24"/>
        </w:rPr>
        <w:t xml:space="preserve">aim to provide equality of opportunity </w:t>
      </w:r>
      <w:r>
        <w:rPr>
          <w:noProof/>
          <w:sz w:val="24"/>
        </w:rPr>
        <w:t xml:space="preserve">in employment </w:t>
      </w:r>
      <w:r w:rsidRPr="00DE320A">
        <w:rPr>
          <w:noProof/>
          <w:sz w:val="24"/>
        </w:rPr>
        <w:t>to all persons</w:t>
      </w:r>
      <w:r>
        <w:rPr>
          <w:noProof/>
          <w:sz w:val="24"/>
        </w:rPr>
        <w:t xml:space="preserve"> and w</w:t>
      </w:r>
      <w:r w:rsidRPr="00DE320A">
        <w:rPr>
          <w:noProof/>
          <w:sz w:val="24"/>
        </w:rPr>
        <w:t xml:space="preserve">e </w:t>
      </w:r>
      <w:r>
        <w:rPr>
          <w:noProof/>
          <w:sz w:val="24"/>
        </w:rPr>
        <w:t>will</w:t>
      </w:r>
      <w:r w:rsidRPr="00DE320A">
        <w:rPr>
          <w:noProof/>
          <w:sz w:val="24"/>
        </w:rPr>
        <w:t xml:space="preserve"> not discriminate </w:t>
      </w:r>
      <w:r w:rsidR="00FB2630">
        <w:rPr>
          <w:noProof/>
          <w:sz w:val="24"/>
        </w:rPr>
        <w:t xml:space="preserve">unlawfully </w:t>
      </w:r>
      <w:r w:rsidRPr="00DE320A">
        <w:rPr>
          <w:noProof/>
          <w:sz w:val="24"/>
        </w:rPr>
        <w:t xml:space="preserve">against our job applicants or employees on any of the </w:t>
      </w:r>
      <w:r>
        <w:rPr>
          <w:noProof/>
          <w:sz w:val="24"/>
        </w:rPr>
        <w:t>protected equality grounds, which are:</w:t>
      </w:r>
    </w:p>
    <w:p w14:paraId="23B47924" w14:textId="77777777" w:rsidR="00DE320A" w:rsidRPr="00DE320A" w:rsidRDefault="00DE320A" w:rsidP="00DE320A">
      <w:pPr>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Caption w:val="Protected equality grounds"/>
        <w:tblDescription w:val="Sex, Marital or Civil Partnership Status, Racial Group, Pregnancy or maternity, Religious or similar philosophical belief, Sexual orientation, Age, gender reasignment, Political Opinion, Disability"/>
      </w:tblPr>
      <w:tblGrid>
        <w:gridCol w:w="2997"/>
        <w:gridCol w:w="3010"/>
        <w:gridCol w:w="3010"/>
      </w:tblGrid>
      <w:tr w:rsidR="00CD19E6" w:rsidRPr="004A0145" w14:paraId="4376EA81" w14:textId="77777777" w:rsidTr="00420C5E">
        <w:trPr>
          <w:trHeight w:val="619"/>
          <w:tblHeader/>
        </w:trPr>
        <w:tc>
          <w:tcPr>
            <w:tcW w:w="2997" w:type="dxa"/>
            <w:shd w:val="clear" w:color="auto" w:fill="E3C0C8"/>
            <w:vAlign w:val="center"/>
          </w:tcPr>
          <w:p w14:paraId="22A239A2" w14:textId="77777777" w:rsidR="00CD19E6" w:rsidRPr="004A0145" w:rsidRDefault="00CD19E6" w:rsidP="001B1737">
            <w:pPr>
              <w:jc w:val="center"/>
              <w:rPr>
                <w:rFonts w:cs="Arial"/>
                <w:b/>
                <w:sz w:val="24"/>
              </w:rPr>
            </w:pPr>
            <w:bookmarkStart w:id="0" w:name="_GoBack"/>
            <w:r w:rsidRPr="004A0145">
              <w:rPr>
                <w:rFonts w:cs="Arial"/>
                <w:b/>
                <w:sz w:val="24"/>
              </w:rPr>
              <w:t>Sex</w:t>
            </w:r>
          </w:p>
        </w:tc>
        <w:tc>
          <w:tcPr>
            <w:tcW w:w="3010" w:type="dxa"/>
            <w:shd w:val="clear" w:color="auto" w:fill="E3C0C8"/>
            <w:vAlign w:val="center"/>
          </w:tcPr>
          <w:p w14:paraId="4489CD39" w14:textId="77777777" w:rsidR="00CD19E6" w:rsidRDefault="00CD19E6" w:rsidP="001B1737">
            <w:pPr>
              <w:jc w:val="center"/>
              <w:rPr>
                <w:rFonts w:cs="Arial"/>
                <w:b/>
                <w:sz w:val="24"/>
              </w:rPr>
            </w:pPr>
            <w:r w:rsidRPr="004A0145">
              <w:rPr>
                <w:rFonts w:cs="Arial"/>
                <w:b/>
                <w:sz w:val="24"/>
              </w:rPr>
              <w:t xml:space="preserve">Pregnancy or </w:t>
            </w:r>
          </w:p>
          <w:p w14:paraId="7592E795" w14:textId="77777777" w:rsidR="00CD19E6" w:rsidRPr="004A0145" w:rsidRDefault="00CD19E6" w:rsidP="001B1737">
            <w:pPr>
              <w:jc w:val="center"/>
              <w:rPr>
                <w:rFonts w:cs="Arial"/>
                <w:b/>
                <w:sz w:val="24"/>
              </w:rPr>
            </w:pPr>
            <w:r w:rsidRPr="004A0145">
              <w:rPr>
                <w:rFonts w:cs="Arial"/>
                <w:b/>
                <w:sz w:val="24"/>
              </w:rPr>
              <w:t>maternity</w:t>
            </w:r>
          </w:p>
        </w:tc>
        <w:tc>
          <w:tcPr>
            <w:tcW w:w="3010" w:type="dxa"/>
            <w:shd w:val="clear" w:color="auto" w:fill="E3C0C8"/>
            <w:vAlign w:val="center"/>
          </w:tcPr>
          <w:p w14:paraId="1FCB4434" w14:textId="77777777" w:rsidR="00CD19E6" w:rsidRDefault="00CD19E6" w:rsidP="001B1737">
            <w:pPr>
              <w:jc w:val="center"/>
              <w:rPr>
                <w:rFonts w:cs="Arial"/>
                <w:b/>
                <w:sz w:val="24"/>
              </w:rPr>
            </w:pPr>
            <w:r w:rsidRPr="004A0145">
              <w:rPr>
                <w:rFonts w:cs="Arial"/>
                <w:b/>
                <w:sz w:val="24"/>
              </w:rPr>
              <w:t>Gender</w:t>
            </w:r>
          </w:p>
          <w:p w14:paraId="54044925" w14:textId="77777777" w:rsidR="00CD19E6" w:rsidRPr="004A0145" w:rsidRDefault="00CD19E6" w:rsidP="001B1737">
            <w:pPr>
              <w:jc w:val="center"/>
              <w:rPr>
                <w:rFonts w:cs="Arial"/>
                <w:b/>
                <w:sz w:val="24"/>
              </w:rPr>
            </w:pPr>
            <w:r w:rsidRPr="004A0145">
              <w:rPr>
                <w:rFonts w:cs="Arial"/>
                <w:b/>
                <w:sz w:val="24"/>
              </w:rPr>
              <w:t>reassignment</w:t>
            </w:r>
          </w:p>
        </w:tc>
      </w:tr>
      <w:tr w:rsidR="00CD19E6" w:rsidRPr="004A0145" w14:paraId="259F8D1A" w14:textId="77777777" w:rsidTr="00420C5E">
        <w:trPr>
          <w:trHeight w:val="1109"/>
          <w:tblHeader/>
        </w:trPr>
        <w:tc>
          <w:tcPr>
            <w:tcW w:w="2997" w:type="dxa"/>
            <w:shd w:val="clear" w:color="auto" w:fill="E3C0C8"/>
            <w:vAlign w:val="center"/>
          </w:tcPr>
          <w:p w14:paraId="440F3D71" w14:textId="7DB99F93" w:rsidR="00CD19E6" w:rsidRPr="004A0145" w:rsidRDefault="000A4D18" w:rsidP="001B1737">
            <w:pPr>
              <w:jc w:val="center"/>
              <w:rPr>
                <w:rFonts w:cs="Arial"/>
                <w:b/>
                <w:sz w:val="24"/>
              </w:rPr>
            </w:pPr>
            <w:r>
              <w:rPr>
                <w:rFonts w:cs="Arial"/>
                <w:b/>
                <w:sz w:val="24"/>
              </w:rPr>
              <w:t xml:space="preserve">Marital </w:t>
            </w:r>
            <w:r w:rsidR="00CD19E6" w:rsidRPr="004A0145">
              <w:rPr>
                <w:rFonts w:cs="Arial"/>
                <w:b/>
                <w:sz w:val="24"/>
              </w:rPr>
              <w:t>or</w:t>
            </w:r>
          </w:p>
          <w:p w14:paraId="17B4E514" w14:textId="77777777" w:rsidR="00CD19E6" w:rsidRDefault="00CD19E6" w:rsidP="001B1737">
            <w:pPr>
              <w:jc w:val="center"/>
              <w:rPr>
                <w:rFonts w:cs="Arial"/>
                <w:b/>
                <w:sz w:val="24"/>
              </w:rPr>
            </w:pPr>
            <w:r>
              <w:rPr>
                <w:rFonts w:cs="Arial"/>
                <w:b/>
                <w:sz w:val="24"/>
              </w:rPr>
              <w:t>Civil partnership</w:t>
            </w:r>
          </w:p>
          <w:p w14:paraId="11C4FF9E" w14:textId="77777777" w:rsidR="00CD19E6" w:rsidRPr="004A0145" w:rsidRDefault="00CD19E6" w:rsidP="001B1737">
            <w:pPr>
              <w:jc w:val="center"/>
              <w:rPr>
                <w:rFonts w:cs="Arial"/>
                <w:b/>
                <w:sz w:val="24"/>
              </w:rPr>
            </w:pPr>
            <w:r w:rsidRPr="004A0145">
              <w:rPr>
                <w:rFonts w:cs="Arial"/>
                <w:b/>
                <w:sz w:val="24"/>
              </w:rPr>
              <w:t>status</w:t>
            </w:r>
          </w:p>
        </w:tc>
        <w:tc>
          <w:tcPr>
            <w:tcW w:w="3010" w:type="dxa"/>
            <w:shd w:val="clear" w:color="auto" w:fill="E3C0C8"/>
            <w:vAlign w:val="center"/>
          </w:tcPr>
          <w:p w14:paraId="4D8F1196" w14:textId="77777777" w:rsidR="00CD19E6" w:rsidRPr="004A0145" w:rsidRDefault="00CD19E6" w:rsidP="001B1737">
            <w:pPr>
              <w:jc w:val="center"/>
              <w:rPr>
                <w:rFonts w:cs="Arial"/>
                <w:b/>
                <w:sz w:val="24"/>
              </w:rPr>
            </w:pPr>
            <w:r w:rsidRPr="004A0145">
              <w:rPr>
                <w:rFonts w:cs="Arial"/>
                <w:b/>
                <w:sz w:val="24"/>
              </w:rPr>
              <w:t>Religious or</w:t>
            </w:r>
          </w:p>
          <w:p w14:paraId="04A28262" w14:textId="77777777" w:rsidR="00CD19E6" w:rsidRPr="004A0145" w:rsidRDefault="00CD19E6" w:rsidP="001B1737">
            <w:pPr>
              <w:jc w:val="center"/>
              <w:rPr>
                <w:rFonts w:cs="Arial"/>
                <w:b/>
                <w:sz w:val="24"/>
              </w:rPr>
            </w:pPr>
            <w:r w:rsidRPr="004A0145">
              <w:rPr>
                <w:rFonts w:cs="Arial"/>
                <w:b/>
                <w:sz w:val="24"/>
              </w:rPr>
              <w:t>similar philosophical belief</w:t>
            </w:r>
          </w:p>
        </w:tc>
        <w:tc>
          <w:tcPr>
            <w:tcW w:w="3010" w:type="dxa"/>
            <w:shd w:val="clear" w:color="auto" w:fill="E3C0C8"/>
            <w:vAlign w:val="center"/>
          </w:tcPr>
          <w:p w14:paraId="6970A9BD" w14:textId="77777777" w:rsidR="00CD19E6" w:rsidRPr="004A0145" w:rsidRDefault="00CD19E6" w:rsidP="001B1737">
            <w:pPr>
              <w:jc w:val="center"/>
              <w:rPr>
                <w:rFonts w:cs="Arial"/>
                <w:b/>
                <w:sz w:val="24"/>
              </w:rPr>
            </w:pPr>
            <w:r w:rsidRPr="004A0145">
              <w:rPr>
                <w:rFonts w:cs="Arial"/>
                <w:b/>
                <w:sz w:val="24"/>
              </w:rPr>
              <w:t>Political</w:t>
            </w:r>
          </w:p>
          <w:p w14:paraId="222CA415" w14:textId="77777777" w:rsidR="00CD19E6" w:rsidRPr="004A0145" w:rsidRDefault="00CD19E6" w:rsidP="001B1737">
            <w:pPr>
              <w:jc w:val="center"/>
              <w:rPr>
                <w:rFonts w:cs="Arial"/>
                <w:b/>
                <w:sz w:val="24"/>
              </w:rPr>
            </w:pPr>
            <w:r w:rsidRPr="004A0145">
              <w:rPr>
                <w:rFonts w:cs="Arial"/>
                <w:b/>
                <w:sz w:val="24"/>
              </w:rPr>
              <w:t>opinion</w:t>
            </w:r>
          </w:p>
        </w:tc>
      </w:tr>
      <w:tr w:rsidR="00CD19E6" w:rsidRPr="004A0145" w14:paraId="43897961" w14:textId="77777777" w:rsidTr="00420C5E">
        <w:trPr>
          <w:trHeight w:val="727"/>
          <w:tblHeader/>
        </w:trPr>
        <w:tc>
          <w:tcPr>
            <w:tcW w:w="2997" w:type="dxa"/>
            <w:tcBorders>
              <w:bottom w:val="single" w:sz="4" w:space="0" w:color="auto"/>
            </w:tcBorders>
            <w:shd w:val="clear" w:color="auto" w:fill="E3C0C8"/>
            <w:vAlign w:val="center"/>
          </w:tcPr>
          <w:p w14:paraId="74F4DF41" w14:textId="77777777" w:rsidR="00CD19E6" w:rsidRPr="004A0145" w:rsidRDefault="00CD19E6" w:rsidP="001B1737">
            <w:pPr>
              <w:jc w:val="center"/>
              <w:rPr>
                <w:rFonts w:cs="Arial"/>
                <w:b/>
                <w:sz w:val="24"/>
              </w:rPr>
            </w:pPr>
            <w:r w:rsidRPr="004A0145">
              <w:rPr>
                <w:rFonts w:cs="Arial"/>
                <w:b/>
                <w:sz w:val="24"/>
              </w:rPr>
              <w:t>Racial group</w:t>
            </w:r>
          </w:p>
        </w:tc>
        <w:tc>
          <w:tcPr>
            <w:tcW w:w="3010" w:type="dxa"/>
            <w:shd w:val="clear" w:color="auto" w:fill="E3C0C8"/>
            <w:vAlign w:val="center"/>
          </w:tcPr>
          <w:p w14:paraId="7125C562" w14:textId="77777777" w:rsidR="00CD19E6" w:rsidRPr="004A0145" w:rsidRDefault="00CD19E6" w:rsidP="001B1737">
            <w:pPr>
              <w:jc w:val="center"/>
              <w:rPr>
                <w:rFonts w:cs="Arial"/>
                <w:b/>
                <w:sz w:val="24"/>
              </w:rPr>
            </w:pPr>
            <w:r w:rsidRPr="004A0145">
              <w:rPr>
                <w:rFonts w:cs="Arial"/>
                <w:b/>
                <w:sz w:val="24"/>
              </w:rPr>
              <w:t>Sexual orientation</w:t>
            </w:r>
          </w:p>
        </w:tc>
        <w:tc>
          <w:tcPr>
            <w:tcW w:w="3010" w:type="dxa"/>
            <w:tcBorders>
              <w:bottom w:val="single" w:sz="4" w:space="0" w:color="auto"/>
            </w:tcBorders>
            <w:shd w:val="clear" w:color="auto" w:fill="E3C0C8"/>
            <w:vAlign w:val="center"/>
          </w:tcPr>
          <w:p w14:paraId="51123BB5" w14:textId="77777777" w:rsidR="00CD19E6" w:rsidRPr="004A0145" w:rsidRDefault="00CD19E6" w:rsidP="001B1737">
            <w:pPr>
              <w:jc w:val="center"/>
              <w:rPr>
                <w:rFonts w:cs="Arial"/>
                <w:b/>
                <w:sz w:val="24"/>
              </w:rPr>
            </w:pPr>
            <w:r w:rsidRPr="004A0145">
              <w:rPr>
                <w:rFonts w:cs="Arial"/>
                <w:b/>
                <w:sz w:val="24"/>
              </w:rPr>
              <w:t>Disability</w:t>
            </w:r>
          </w:p>
        </w:tc>
      </w:tr>
      <w:tr w:rsidR="00CD19E6" w:rsidRPr="004A0145" w14:paraId="78544D72" w14:textId="77777777" w:rsidTr="00DE320A">
        <w:trPr>
          <w:trHeight w:val="753"/>
        </w:trPr>
        <w:tc>
          <w:tcPr>
            <w:tcW w:w="2997" w:type="dxa"/>
            <w:tcBorders>
              <w:left w:val="nil"/>
              <w:bottom w:val="nil"/>
            </w:tcBorders>
            <w:shd w:val="clear" w:color="auto" w:fill="auto"/>
            <w:vAlign w:val="center"/>
          </w:tcPr>
          <w:p w14:paraId="0C0243ED" w14:textId="77777777" w:rsidR="00CD19E6" w:rsidRPr="004A0145" w:rsidRDefault="00CD19E6" w:rsidP="001B1737">
            <w:pPr>
              <w:jc w:val="center"/>
              <w:rPr>
                <w:rFonts w:cs="Arial"/>
                <w:b/>
                <w:sz w:val="24"/>
              </w:rPr>
            </w:pPr>
          </w:p>
        </w:tc>
        <w:tc>
          <w:tcPr>
            <w:tcW w:w="3010" w:type="dxa"/>
            <w:shd w:val="clear" w:color="auto" w:fill="E3C0C8"/>
            <w:vAlign w:val="center"/>
          </w:tcPr>
          <w:p w14:paraId="4DF48BBA" w14:textId="77777777" w:rsidR="00CD19E6" w:rsidRPr="004A0145" w:rsidRDefault="00CD19E6" w:rsidP="001B1737">
            <w:pPr>
              <w:jc w:val="center"/>
              <w:rPr>
                <w:rFonts w:cs="Arial"/>
                <w:b/>
                <w:sz w:val="24"/>
              </w:rPr>
            </w:pPr>
            <w:r>
              <w:rPr>
                <w:rFonts w:cs="Arial"/>
                <w:b/>
                <w:sz w:val="24"/>
              </w:rPr>
              <w:t>Age</w:t>
            </w:r>
          </w:p>
        </w:tc>
        <w:tc>
          <w:tcPr>
            <w:tcW w:w="3010" w:type="dxa"/>
            <w:tcBorders>
              <w:bottom w:val="nil"/>
              <w:right w:val="nil"/>
            </w:tcBorders>
            <w:shd w:val="clear" w:color="auto" w:fill="FFFFFF" w:themeFill="background1"/>
            <w:vAlign w:val="center"/>
          </w:tcPr>
          <w:p w14:paraId="39A133FD" w14:textId="77777777" w:rsidR="00CD19E6" w:rsidRPr="004A0145" w:rsidRDefault="00CD19E6" w:rsidP="001B1737">
            <w:pPr>
              <w:rPr>
                <w:rFonts w:cs="Arial"/>
                <w:b/>
                <w:sz w:val="24"/>
              </w:rPr>
            </w:pPr>
          </w:p>
        </w:tc>
      </w:tr>
      <w:bookmarkEnd w:id="0"/>
    </w:tbl>
    <w:p w14:paraId="552BF4C4" w14:textId="2EE2053C" w:rsidR="00CD19E6" w:rsidRDefault="00CD19E6" w:rsidP="00CD19E6">
      <w:pPr>
        <w:rPr>
          <w:rFonts w:cs="Arial"/>
          <w:sz w:val="24"/>
        </w:rPr>
      </w:pPr>
    </w:p>
    <w:p w14:paraId="0DA91DF0" w14:textId="77777777" w:rsidR="00DE320A" w:rsidRPr="00B833CF" w:rsidRDefault="00DE320A" w:rsidP="00DE320A">
      <w:pPr>
        <w:rPr>
          <w:rFonts w:cs="Arial"/>
          <w:sz w:val="24"/>
        </w:rPr>
      </w:pPr>
    </w:p>
    <w:p w14:paraId="2BEE46FF" w14:textId="7759CA11" w:rsidR="00DE320A" w:rsidRPr="00B833CF" w:rsidRDefault="00DE320A" w:rsidP="00DE320A">
      <w:pPr>
        <w:rPr>
          <w:noProof/>
          <w:sz w:val="24"/>
        </w:rPr>
      </w:pPr>
      <w:r w:rsidRPr="00B833CF">
        <w:rPr>
          <w:noProof/>
          <w:sz w:val="24"/>
        </w:rPr>
        <w:t xml:space="preserve">When </w:t>
      </w:r>
      <w:r w:rsidR="00C11264" w:rsidRPr="00B833CF">
        <w:rPr>
          <w:noProof/>
          <w:sz w:val="24"/>
        </w:rPr>
        <w:t>making recuitment and selection decisions</w:t>
      </w:r>
      <w:r w:rsidRPr="00B833CF">
        <w:rPr>
          <w:noProof/>
          <w:sz w:val="24"/>
        </w:rPr>
        <w:t xml:space="preserve"> we </w:t>
      </w:r>
      <w:r w:rsidR="009D40ED" w:rsidRPr="00B833CF">
        <w:rPr>
          <w:noProof/>
          <w:sz w:val="24"/>
        </w:rPr>
        <w:t xml:space="preserve">will </w:t>
      </w:r>
      <w:r w:rsidRPr="00B833CF">
        <w:rPr>
          <w:noProof/>
          <w:sz w:val="24"/>
        </w:rPr>
        <w:t>aim to select the best person for the job and all decisions will be made objectively</w:t>
      </w:r>
      <w:r w:rsidR="00B833CF">
        <w:rPr>
          <w:noProof/>
          <w:sz w:val="24"/>
        </w:rPr>
        <w:t xml:space="preserve"> and lawfully</w:t>
      </w:r>
      <w:r w:rsidRPr="00B833CF">
        <w:rPr>
          <w:noProof/>
          <w:sz w:val="24"/>
        </w:rPr>
        <w:t>.</w:t>
      </w:r>
      <w:r w:rsidR="00B833CF">
        <w:rPr>
          <w:noProof/>
          <w:sz w:val="24"/>
        </w:rPr>
        <w:t xml:space="preserve"> Likewise, we will </w:t>
      </w:r>
      <w:r w:rsidR="00D96597">
        <w:rPr>
          <w:noProof/>
          <w:sz w:val="24"/>
        </w:rPr>
        <w:t>follow</w:t>
      </w:r>
      <w:r w:rsidR="00B833CF">
        <w:rPr>
          <w:noProof/>
          <w:sz w:val="24"/>
        </w:rPr>
        <w:t xml:space="preserve"> the same principles when making other employment-related policies and decisions, such as those relating to pay and benefits, opportunities for promotion and training, flexible working</w:t>
      </w:r>
      <w:r w:rsidR="00D96597">
        <w:rPr>
          <w:noProof/>
          <w:sz w:val="24"/>
        </w:rPr>
        <w:t xml:space="preserve"> arrangements</w:t>
      </w:r>
      <w:r w:rsidR="00B833CF">
        <w:rPr>
          <w:noProof/>
          <w:sz w:val="24"/>
        </w:rPr>
        <w:t>, absen</w:t>
      </w:r>
      <w:r w:rsidR="00D96597">
        <w:rPr>
          <w:noProof/>
          <w:sz w:val="24"/>
        </w:rPr>
        <w:t xml:space="preserve">ce and performance management and, if </w:t>
      </w:r>
      <w:r w:rsidR="00941027">
        <w:rPr>
          <w:noProof/>
          <w:sz w:val="24"/>
        </w:rPr>
        <w:t>necessary</w:t>
      </w:r>
      <w:r w:rsidR="00D96597">
        <w:rPr>
          <w:noProof/>
          <w:sz w:val="24"/>
        </w:rPr>
        <w:t>, redundancy.</w:t>
      </w:r>
    </w:p>
    <w:p w14:paraId="6F267110" w14:textId="4D056B5E" w:rsidR="00DE320A" w:rsidRPr="00B833CF" w:rsidRDefault="00DE320A" w:rsidP="00DE320A">
      <w:pPr>
        <w:rPr>
          <w:rFonts w:cs="Arial"/>
          <w:sz w:val="24"/>
        </w:rPr>
      </w:pPr>
    </w:p>
    <w:p w14:paraId="208E4992" w14:textId="40057264" w:rsidR="00DE320A" w:rsidRDefault="00DE320A" w:rsidP="00CD19E6">
      <w:pPr>
        <w:rPr>
          <w:rFonts w:cs="Arial"/>
          <w:sz w:val="24"/>
        </w:rPr>
      </w:pPr>
      <w:r w:rsidRPr="004A0145">
        <w:rPr>
          <w:rFonts w:cs="Arial"/>
          <w:sz w:val="24"/>
        </w:rPr>
        <w:t xml:space="preserve">We will promote a good and harmonious working environment in which our employees will be treated with dignity and respect. We will not </w:t>
      </w:r>
      <w:r>
        <w:rPr>
          <w:rFonts w:cs="Arial"/>
          <w:sz w:val="24"/>
        </w:rPr>
        <w:t xml:space="preserve">tolerate </w:t>
      </w:r>
      <w:r w:rsidR="00763821" w:rsidRPr="004A0145">
        <w:rPr>
          <w:rFonts w:cs="Arial"/>
          <w:sz w:val="24"/>
        </w:rPr>
        <w:t>harass</w:t>
      </w:r>
      <w:r w:rsidR="00763821">
        <w:rPr>
          <w:rFonts w:cs="Arial"/>
          <w:sz w:val="24"/>
        </w:rPr>
        <w:t xml:space="preserve">ment </w:t>
      </w:r>
      <w:r w:rsidR="00763821" w:rsidRPr="004A0145">
        <w:rPr>
          <w:rFonts w:cs="Arial"/>
          <w:sz w:val="24"/>
        </w:rPr>
        <w:t xml:space="preserve">on the </w:t>
      </w:r>
      <w:r w:rsidR="00763821">
        <w:rPr>
          <w:rFonts w:cs="Arial"/>
          <w:sz w:val="24"/>
        </w:rPr>
        <w:t xml:space="preserve">protected </w:t>
      </w:r>
      <w:r w:rsidR="00763821" w:rsidRPr="004A0145">
        <w:rPr>
          <w:rFonts w:cs="Arial"/>
          <w:sz w:val="24"/>
        </w:rPr>
        <w:t>equality grounds</w:t>
      </w:r>
      <w:r w:rsidR="00763821">
        <w:rPr>
          <w:rFonts w:cs="Arial"/>
          <w:sz w:val="24"/>
        </w:rPr>
        <w:t xml:space="preserve"> or bullying.</w:t>
      </w:r>
    </w:p>
    <w:p w14:paraId="25FE65C4" w14:textId="77777777" w:rsidR="00763821" w:rsidRDefault="00763821" w:rsidP="00CD19E6">
      <w:pPr>
        <w:rPr>
          <w:rFonts w:cs="Arial"/>
          <w:sz w:val="24"/>
        </w:rPr>
      </w:pPr>
    </w:p>
    <w:p w14:paraId="1259E1D7" w14:textId="79157CA4" w:rsidR="00AA7912" w:rsidRDefault="00E3547F" w:rsidP="00B0403B">
      <w:pPr>
        <w:rPr>
          <w:rFonts w:cs="Arial"/>
          <w:sz w:val="24"/>
        </w:rPr>
      </w:pPr>
      <w:r>
        <w:rPr>
          <w:rFonts w:cs="Arial"/>
          <w:sz w:val="24"/>
        </w:rPr>
        <w:t xml:space="preserve">We </w:t>
      </w:r>
      <w:r w:rsidR="0094783C">
        <w:rPr>
          <w:rFonts w:cs="Arial"/>
          <w:sz w:val="24"/>
        </w:rPr>
        <w:t>recognise</w:t>
      </w:r>
      <w:r w:rsidR="00C809B3">
        <w:rPr>
          <w:rFonts w:cs="Arial"/>
          <w:sz w:val="24"/>
        </w:rPr>
        <w:t xml:space="preserve"> that</w:t>
      </w:r>
      <w:r w:rsidR="009433BC">
        <w:rPr>
          <w:rFonts w:cs="Arial"/>
          <w:sz w:val="24"/>
        </w:rPr>
        <w:t xml:space="preserve"> our workplace </w:t>
      </w:r>
      <w:r w:rsidR="00C809B3">
        <w:rPr>
          <w:rFonts w:cs="Arial"/>
          <w:sz w:val="24"/>
        </w:rPr>
        <w:t xml:space="preserve">and our employment policies and practices </w:t>
      </w:r>
      <w:r w:rsidR="0094783C">
        <w:rPr>
          <w:rFonts w:cs="Arial"/>
          <w:sz w:val="24"/>
        </w:rPr>
        <w:t>may potentially cause barriers for</w:t>
      </w:r>
      <w:r w:rsidR="00C809B3">
        <w:rPr>
          <w:rFonts w:cs="Arial"/>
          <w:sz w:val="24"/>
        </w:rPr>
        <w:t xml:space="preserve"> job applicants and employees </w:t>
      </w:r>
      <w:r w:rsidR="009C0F94">
        <w:rPr>
          <w:rFonts w:cs="Arial"/>
          <w:sz w:val="24"/>
        </w:rPr>
        <w:t xml:space="preserve">who have </w:t>
      </w:r>
      <w:r w:rsidR="007E2471">
        <w:rPr>
          <w:rFonts w:cs="Arial"/>
          <w:sz w:val="24"/>
        </w:rPr>
        <w:t xml:space="preserve">disabilities. </w:t>
      </w:r>
      <w:r w:rsidR="0094783C">
        <w:rPr>
          <w:rFonts w:cs="Arial"/>
          <w:sz w:val="24"/>
        </w:rPr>
        <w:t>W</w:t>
      </w:r>
      <w:r w:rsidR="007E2471">
        <w:rPr>
          <w:rFonts w:cs="Arial"/>
          <w:sz w:val="24"/>
        </w:rPr>
        <w:t xml:space="preserve">e will </w:t>
      </w:r>
      <w:r>
        <w:rPr>
          <w:rFonts w:cs="Arial"/>
          <w:sz w:val="24"/>
        </w:rPr>
        <w:t xml:space="preserve">make reasonable adjustments </w:t>
      </w:r>
      <w:r w:rsidR="0094783C">
        <w:rPr>
          <w:rFonts w:cs="Arial"/>
          <w:sz w:val="24"/>
        </w:rPr>
        <w:t>to ensure that these are removed when needed</w:t>
      </w:r>
      <w:r w:rsidR="004B32C6">
        <w:rPr>
          <w:rFonts w:cs="Arial"/>
          <w:sz w:val="24"/>
        </w:rPr>
        <w:t xml:space="preserve">. </w:t>
      </w:r>
      <w:r>
        <w:rPr>
          <w:rFonts w:cs="Arial"/>
          <w:sz w:val="24"/>
        </w:rPr>
        <w:t xml:space="preserve">We </w:t>
      </w:r>
      <w:r w:rsidR="0094783C">
        <w:rPr>
          <w:rFonts w:cs="Arial"/>
          <w:sz w:val="24"/>
        </w:rPr>
        <w:t>recognise</w:t>
      </w:r>
      <w:r>
        <w:rPr>
          <w:rFonts w:cs="Arial"/>
          <w:sz w:val="24"/>
        </w:rPr>
        <w:t xml:space="preserve"> that a failure to comply with </w:t>
      </w:r>
      <w:r w:rsidR="00892874">
        <w:rPr>
          <w:rFonts w:cs="Arial"/>
          <w:sz w:val="24"/>
        </w:rPr>
        <w:t>the reasonable adjustment</w:t>
      </w:r>
      <w:r>
        <w:rPr>
          <w:rFonts w:cs="Arial"/>
          <w:sz w:val="24"/>
        </w:rPr>
        <w:t xml:space="preserve"> duty </w:t>
      </w:r>
      <w:r w:rsidR="00D64B68">
        <w:rPr>
          <w:rFonts w:cs="Arial"/>
          <w:sz w:val="24"/>
        </w:rPr>
        <w:t>would be</w:t>
      </w:r>
      <w:r>
        <w:rPr>
          <w:rFonts w:cs="Arial"/>
          <w:sz w:val="24"/>
        </w:rPr>
        <w:t xml:space="preserve"> an act of unl</w:t>
      </w:r>
      <w:r w:rsidR="007E2471">
        <w:rPr>
          <w:rFonts w:cs="Arial"/>
          <w:sz w:val="24"/>
        </w:rPr>
        <w:t>a</w:t>
      </w:r>
      <w:r>
        <w:rPr>
          <w:rFonts w:cs="Arial"/>
          <w:sz w:val="24"/>
        </w:rPr>
        <w:t>wful dis</w:t>
      </w:r>
      <w:r w:rsidR="00C46423">
        <w:rPr>
          <w:rFonts w:cs="Arial"/>
          <w:sz w:val="24"/>
        </w:rPr>
        <w:t>crimination.</w:t>
      </w:r>
    </w:p>
    <w:p w14:paraId="1D39B865" w14:textId="367B10B3" w:rsidR="00A027D6" w:rsidRDefault="00A027D6" w:rsidP="00B0403B">
      <w:pPr>
        <w:rPr>
          <w:rFonts w:cs="Arial"/>
          <w:sz w:val="24"/>
        </w:rPr>
      </w:pPr>
    </w:p>
    <w:p w14:paraId="73738FE6" w14:textId="4DCC033E" w:rsidR="00B833CF" w:rsidRPr="00B833CF" w:rsidRDefault="00B833CF" w:rsidP="00B833CF">
      <w:pPr>
        <w:rPr>
          <w:sz w:val="24"/>
        </w:rPr>
      </w:pPr>
      <w:r w:rsidRPr="00B833CF">
        <w:rPr>
          <w:sz w:val="24"/>
        </w:rPr>
        <w:lastRenderedPageBreak/>
        <w:t xml:space="preserve">Where appropriate, </w:t>
      </w:r>
      <w:r>
        <w:rPr>
          <w:sz w:val="24"/>
        </w:rPr>
        <w:t xml:space="preserve">we will take </w:t>
      </w:r>
      <w:r w:rsidRPr="00B833CF">
        <w:rPr>
          <w:sz w:val="24"/>
        </w:rPr>
        <w:t xml:space="preserve">lawful affirmative and positive action to encourage </w:t>
      </w:r>
      <w:r w:rsidR="00836123">
        <w:rPr>
          <w:sz w:val="24"/>
        </w:rPr>
        <w:t>participation</w:t>
      </w:r>
      <w:r w:rsidRPr="00B833CF">
        <w:rPr>
          <w:sz w:val="24"/>
        </w:rPr>
        <w:t xml:space="preserve"> from groups that are under-represented in our workforce</w:t>
      </w:r>
      <w:r>
        <w:rPr>
          <w:sz w:val="24"/>
        </w:rPr>
        <w:t>.</w:t>
      </w:r>
    </w:p>
    <w:p w14:paraId="46E8FE60" w14:textId="77777777" w:rsidR="00B833CF" w:rsidRPr="009D1EDE" w:rsidRDefault="00B833CF" w:rsidP="00B0403B">
      <w:pPr>
        <w:rPr>
          <w:rFonts w:cs="Arial"/>
          <w:color w:val="791344"/>
          <w:sz w:val="24"/>
        </w:rPr>
      </w:pPr>
    </w:p>
    <w:p w14:paraId="4A63B283" w14:textId="77777777" w:rsidR="00DD59F7" w:rsidRPr="009D1EDE" w:rsidRDefault="00726321" w:rsidP="00E850A3">
      <w:pPr>
        <w:pStyle w:val="Heading1"/>
        <w:rPr>
          <w:color w:val="791344"/>
          <w:sz w:val="24"/>
        </w:rPr>
      </w:pPr>
      <w:r w:rsidRPr="009D1EDE">
        <w:rPr>
          <w:color w:val="791344"/>
          <w:sz w:val="24"/>
        </w:rPr>
        <w:t>2. EMPLOYEES’ RIGHTS</w:t>
      </w:r>
    </w:p>
    <w:p w14:paraId="6DC431CA" w14:textId="77777777" w:rsidR="006E1763" w:rsidRPr="008A0B99" w:rsidRDefault="006E1763" w:rsidP="00DD59F7">
      <w:pPr>
        <w:rPr>
          <w:rFonts w:cs="Arial"/>
          <w:b/>
          <w:color w:val="800000"/>
          <w:sz w:val="24"/>
        </w:rPr>
      </w:pPr>
    </w:p>
    <w:p w14:paraId="1AB7094C" w14:textId="05F1626B" w:rsidR="005F2588" w:rsidRDefault="006651F9" w:rsidP="00E04EB7">
      <w:pPr>
        <w:rPr>
          <w:rFonts w:cs="Arial"/>
          <w:sz w:val="24"/>
        </w:rPr>
      </w:pPr>
      <w:r>
        <w:rPr>
          <w:rFonts w:cs="Arial"/>
          <w:sz w:val="24"/>
        </w:rPr>
        <w:t>O</w:t>
      </w:r>
      <w:r w:rsidR="00474F34">
        <w:rPr>
          <w:rFonts w:cs="Arial"/>
          <w:sz w:val="24"/>
        </w:rPr>
        <w:t>ur</w:t>
      </w:r>
      <w:r w:rsidR="00DD59F7" w:rsidRPr="005D53B8">
        <w:rPr>
          <w:rFonts w:cs="Arial"/>
          <w:sz w:val="24"/>
        </w:rPr>
        <w:t xml:space="preserve"> </w:t>
      </w:r>
      <w:r w:rsidR="00B87C0F" w:rsidRPr="005D53B8">
        <w:rPr>
          <w:rFonts w:cs="Arial"/>
          <w:sz w:val="24"/>
        </w:rPr>
        <w:t>e</w:t>
      </w:r>
      <w:r w:rsidR="00AB1A09" w:rsidRPr="005D53B8">
        <w:rPr>
          <w:rFonts w:cs="Arial"/>
          <w:sz w:val="24"/>
        </w:rPr>
        <w:t>mployees</w:t>
      </w:r>
      <w:r w:rsidR="00E04EB7">
        <w:rPr>
          <w:rFonts w:cs="Arial"/>
          <w:sz w:val="24"/>
        </w:rPr>
        <w:t xml:space="preserve"> have a right to </w:t>
      </w:r>
      <w:r w:rsidR="00DD59F7" w:rsidRPr="005D53B8">
        <w:rPr>
          <w:rFonts w:cs="Arial"/>
          <w:sz w:val="24"/>
        </w:rPr>
        <w:t>work in a</w:t>
      </w:r>
      <w:r w:rsidR="00B24ED5">
        <w:rPr>
          <w:rFonts w:cs="Arial"/>
          <w:sz w:val="24"/>
        </w:rPr>
        <w:t xml:space="preserve"> good and harmonious</w:t>
      </w:r>
      <w:r w:rsidR="00DD59F7" w:rsidRPr="005D53B8">
        <w:rPr>
          <w:rFonts w:cs="Arial"/>
          <w:sz w:val="24"/>
        </w:rPr>
        <w:t xml:space="preserve"> environment </w:t>
      </w:r>
      <w:r w:rsidR="006A5638">
        <w:rPr>
          <w:rFonts w:cs="Arial"/>
          <w:sz w:val="24"/>
        </w:rPr>
        <w:t>that</w:t>
      </w:r>
      <w:r w:rsidR="00DD59F7" w:rsidRPr="005D53B8">
        <w:rPr>
          <w:rFonts w:cs="Arial"/>
          <w:sz w:val="24"/>
        </w:rPr>
        <w:t xml:space="preserve"> is free from </w:t>
      </w:r>
      <w:r w:rsidR="00CD696E">
        <w:rPr>
          <w:rFonts w:cs="Arial"/>
          <w:sz w:val="24"/>
        </w:rPr>
        <w:t xml:space="preserve">unlawful </w:t>
      </w:r>
      <w:r w:rsidR="00285625">
        <w:rPr>
          <w:rFonts w:cs="Arial"/>
          <w:sz w:val="24"/>
        </w:rPr>
        <w:t>discrimination</w:t>
      </w:r>
      <w:r w:rsidR="00D27F19">
        <w:rPr>
          <w:rFonts w:cs="Arial"/>
          <w:sz w:val="24"/>
        </w:rPr>
        <w:t xml:space="preserve"> and</w:t>
      </w:r>
      <w:r w:rsidR="00285625">
        <w:rPr>
          <w:rFonts w:cs="Arial"/>
          <w:sz w:val="24"/>
        </w:rPr>
        <w:t xml:space="preserve"> </w:t>
      </w:r>
      <w:r w:rsidR="00E04EB7">
        <w:rPr>
          <w:rFonts w:cs="Arial"/>
          <w:sz w:val="24"/>
        </w:rPr>
        <w:t xml:space="preserve">harassment and to </w:t>
      </w:r>
      <w:r w:rsidR="00DD59F7" w:rsidRPr="005D53B8">
        <w:rPr>
          <w:rFonts w:cs="Arial"/>
          <w:sz w:val="24"/>
        </w:rPr>
        <w:t xml:space="preserve">complain about </w:t>
      </w:r>
      <w:r w:rsidR="00D07410">
        <w:rPr>
          <w:rFonts w:cs="Arial"/>
          <w:sz w:val="24"/>
        </w:rPr>
        <w:t>such behaviour</w:t>
      </w:r>
      <w:r w:rsidR="00610256">
        <w:rPr>
          <w:rFonts w:cs="Arial"/>
          <w:sz w:val="24"/>
        </w:rPr>
        <w:t xml:space="preserve"> should it occur.</w:t>
      </w:r>
    </w:p>
    <w:p w14:paraId="7AEC6646" w14:textId="77777777" w:rsidR="005F2588" w:rsidRDefault="005F2588" w:rsidP="005F2588">
      <w:pPr>
        <w:rPr>
          <w:rFonts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3C0C8"/>
        <w:tblLook w:val="04A0" w:firstRow="1" w:lastRow="0" w:firstColumn="1" w:lastColumn="0" w:noHBand="0" w:noVBand="1"/>
        <w:tblCaption w:val="Note"/>
        <w:tblDescription w:val="We have established an internal grievance procedure to deal with such complaints and we would encourage aggrieved employees to use it. All complaints will be dealt with seriously, promptly and confidentially. &#10;&#10;Our internal grievance procedure does not replace the right of aggrieved employees to also pursue complaints to an Industrial Tribunal or the Fair Employment Tribunal. Those who wish to consider that option may obtain advice from the Equality Commission (telephone: 028 90 500 600)."/>
      </w:tblPr>
      <w:tblGrid>
        <w:gridCol w:w="8909"/>
      </w:tblGrid>
      <w:tr w:rsidR="005F2588" w:rsidRPr="007C777F" w14:paraId="141794A0" w14:textId="77777777" w:rsidTr="00420C5E">
        <w:trPr>
          <w:trHeight w:val="699"/>
          <w:tblHeader/>
        </w:trPr>
        <w:tc>
          <w:tcPr>
            <w:tcW w:w="9135" w:type="dxa"/>
            <w:shd w:val="clear" w:color="auto" w:fill="E3C0C8"/>
            <w:vAlign w:val="center"/>
          </w:tcPr>
          <w:p w14:paraId="26F3F159" w14:textId="77777777" w:rsidR="0062069D" w:rsidRDefault="0062069D" w:rsidP="008A0B99">
            <w:pPr>
              <w:rPr>
                <w:rFonts w:cs="Arial"/>
                <w:sz w:val="24"/>
              </w:rPr>
            </w:pPr>
          </w:p>
          <w:p w14:paraId="5A1C7813" w14:textId="65B3348D" w:rsidR="005F2588" w:rsidRPr="006F5997" w:rsidRDefault="005F2588" w:rsidP="008A0B99">
            <w:pPr>
              <w:rPr>
                <w:rFonts w:cs="Arial"/>
                <w:sz w:val="24"/>
              </w:rPr>
            </w:pPr>
            <w:r w:rsidRPr="006F5997">
              <w:rPr>
                <w:rFonts w:cs="Arial"/>
                <w:sz w:val="24"/>
              </w:rPr>
              <w:t xml:space="preserve">We have established an internal </w:t>
            </w:r>
            <w:r w:rsidR="00E43340" w:rsidRPr="006F5997">
              <w:rPr>
                <w:rFonts w:cs="Arial"/>
                <w:sz w:val="24"/>
              </w:rPr>
              <w:t xml:space="preserve">grievance </w:t>
            </w:r>
            <w:r w:rsidRPr="006F5997">
              <w:rPr>
                <w:rFonts w:cs="Arial"/>
                <w:sz w:val="24"/>
              </w:rPr>
              <w:t>procedure to deal with such complaints and we would encourage aggrieved employees to use it. All complaints will be dealt with seriously, promptly and confidentially.</w:t>
            </w:r>
            <w:r w:rsidR="00E43340" w:rsidRPr="006F5997">
              <w:rPr>
                <w:rStyle w:val="FootnoteReference"/>
                <w:rFonts w:cs="Arial"/>
                <w:sz w:val="24"/>
              </w:rPr>
              <w:footnoteReference w:id="1"/>
            </w:r>
          </w:p>
          <w:p w14:paraId="1137596E" w14:textId="77777777" w:rsidR="005F2588" w:rsidRPr="006F5997" w:rsidRDefault="005F2588" w:rsidP="008A0B99">
            <w:pPr>
              <w:rPr>
                <w:rFonts w:cs="Arial"/>
                <w:sz w:val="24"/>
              </w:rPr>
            </w:pPr>
          </w:p>
          <w:p w14:paraId="4F0A6DC2" w14:textId="77777777" w:rsidR="005F2588" w:rsidRDefault="005F2588" w:rsidP="001A61B8">
            <w:pPr>
              <w:rPr>
                <w:rFonts w:cs="Arial"/>
                <w:sz w:val="24"/>
              </w:rPr>
            </w:pPr>
            <w:r w:rsidRPr="006F5997">
              <w:rPr>
                <w:rFonts w:cs="Arial"/>
                <w:sz w:val="24"/>
              </w:rPr>
              <w:t xml:space="preserve">Our internal grievance procedure does not replace the right of </w:t>
            </w:r>
            <w:r w:rsidR="007B448D" w:rsidRPr="006F5997">
              <w:rPr>
                <w:rFonts w:cs="Arial"/>
                <w:sz w:val="24"/>
              </w:rPr>
              <w:t xml:space="preserve">aggrieved </w:t>
            </w:r>
            <w:r w:rsidRPr="006F5997">
              <w:rPr>
                <w:rFonts w:cs="Arial"/>
                <w:sz w:val="24"/>
              </w:rPr>
              <w:t>employees to also pursue complaints to an Industrial Tribunal or the Fair Employment Tribunal.</w:t>
            </w:r>
            <w:r w:rsidR="00374592" w:rsidRPr="006F5997">
              <w:rPr>
                <w:rFonts w:cs="Arial"/>
                <w:sz w:val="24"/>
              </w:rPr>
              <w:t xml:space="preserve"> </w:t>
            </w:r>
            <w:r w:rsidR="007B448D" w:rsidRPr="006F5997">
              <w:rPr>
                <w:rFonts w:cs="Arial"/>
                <w:sz w:val="24"/>
              </w:rPr>
              <w:t>Those</w:t>
            </w:r>
            <w:r w:rsidR="00374592" w:rsidRPr="006F5997">
              <w:rPr>
                <w:rFonts w:cs="Arial"/>
                <w:sz w:val="24"/>
              </w:rPr>
              <w:t xml:space="preserve"> who wish to consider</w:t>
            </w:r>
            <w:r w:rsidR="00D94DAE" w:rsidRPr="006F5997">
              <w:rPr>
                <w:rFonts w:cs="Arial"/>
                <w:sz w:val="24"/>
              </w:rPr>
              <w:t xml:space="preserve"> th</w:t>
            </w:r>
            <w:r w:rsidR="00374592" w:rsidRPr="006F5997">
              <w:rPr>
                <w:rFonts w:cs="Arial"/>
                <w:sz w:val="24"/>
              </w:rPr>
              <w:t>at</w:t>
            </w:r>
            <w:r w:rsidR="00D94DAE" w:rsidRPr="006F5997">
              <w:rPr>
                <w:rFonts w:cs="Arial"/>
                <w:sz w:val="24"/>
              </w:rPr>
              <w:t xml:space="preserve"> </w:t>
            </w:r>
            <w:r w:rsidR="007A2060" w:rsidRPr="006F5997">
              <w:rPr>
                <w:rFonts w:cs="Arial"/>
                <w:sz w:val="24"/>
              </w:rPr>
              <w:t xml:space="preserve">option </w:t>
            </w:r>
            <w:r w:rsidR="00D94DAE" w:rsidRPr="006F5997">
              <w:rPr>
                <w:rFonts w:cs="Arial"/>
                <w:sz w:val="24"/>
              </w:rPr>
              <w:t xml:space="preserve">may obtain advice from the Equality Commission (telephone: 028 90 </w:t>
            </w:r>
            <w:r w:rsidR="001A61B8" w:rsidRPr="006F5997">
              <w:rPr>
                <w:rFonts w:cs="Arial"/>
                <w:sz w:val="24"/>
              </w:rPr>
              <w:t>500 600</w:t>
            </w:r>
            <w:r w:rsidR="00D94DAE" w:rsidRPr="006F5997">
              <w:rPr>
                <w:rFonts w:cs="Arial"/>
                <w:sz w:val="24"/>
              </w:rPr>
              <w:t>).</w:t>
            </w:r>
          </w:p>
          <w:p w14:paraId="136E935A" w14:textId="777E9AED" w:rsidR="0062069D" w:rsidRPr="007C777F" w:rsidRDefault="0062069D" w:rsidP="001A61B8">
            <w:pPr>
              <w:rPr>
                <w:rFonts w:cs="Arial"/>
                <w:sz w:val="24"/>
              </w:rPr>
            </w:pPr>
          </w:p>
        </w:tc>
      </w:tr>
    </w:tbl>
    <w:p w14:paraId="67AD890D" w14:textId="77777777" w:rsidR="00DD59F7" w:rsidRDefault="00DD59F7" w:rsidP="00DD59F7">
      <w:pPr>
        <w:rPr>
          <w:rFonts w:cs="Arial"/>
          <w:sz w:val="24"/>
        </w:rPr>
      </w:pPr>
    </w:p>
    <w:p w14:paraId="076FAA24" w14:textId="6B244A5A" w:rsidR="001258E9" w:rsidRPr="005D53B8" w:rsidRDefault="00B75F5A" w:rsidP="001258E9">
      <w:pPr>
        <w:rPr>
          <w:rFonts w:cs="Arial"/>
          <w:sz w:val="24"/>
        </w:rPr>
      </w:pPr>
      <w:r>
        <w:rPr>
          <w:rFonts w:cs="Arial"/>
          <w:sz w:val="24"/>
        </w:rPr>
        <w:t>E</w:t>
      </w:r>
      <w:r w:rsidR="001258E9" w:rsidRPr="005D53B8">
        <w:rPr>
          <w:rFonts w:cs="Arial"/>
          <w:sz w:val="24"/>
        </w:rPr>
        <w:t xml:space="preserve">mployees </w:t>
      </w:r>
      <w:r>
        <w:rPr>
          <w:rFonts w:cs="Arial"/>
          <w:sz w:val="24"/>
        </w:rPr>
        <w:t xml:space="preserve">who make </w:t>
      </w:r>
      <w:r w:rsidR="001258E9" w:rsidRPr="005D53B8">
        <w:rPr>
          <w:rFonts w:cs="Arial"/>
          <w:sz w:val="24"/>
        </w:rPr>
        <w:t>complaints of discrimination</w:t>
      </w:r>
      <w:r w:rsidR="00D97257">
        <w:rPr>
          <w:rFonts w:cs="Arial"/>
          <w:sz w:val="24"/>
        </w:rPr>
        <w:t xml:space="preserve"> or</w:t>
      </w:r>
      <w:r w:rsidR="001258E9" w:rsidRPr="005D53B8">
        <w:rPr>
          <w:rFonts w:cs="Arial"/>
          <w:sz w:val="24"/>
        </w:rPr>
        <w:t xml:space="preserve"> harassment</w:t>
      </w:r>
      <w:r w:rsidR="00E370C8">
        <w:rPr>
          <w:rFonts w:cs="Arial"/>
          <w:sz w:val="24"/>
        </w:rPr>
        <w:t xml:space="preserve"> </w:t>
      </w:r>
      <w:r w:rsidR="001258E9" w:rsidRPr="005D53B8">
        <w:rPr>
          <w:rFonts w:cs="Arial"/>
          <w:sz w:val="24"/>
        </w:rPr>
        <w:t xml:space="preserve">and others who give evidence or information in connection with </w:t>
      </w:r>
      <w:r>
        <w:rPr>
          <w:rFonts w:cs="Arial"/>
          <w:sz w:val="24"/>
        </w:rPr>
        <w:t xml:space="preserve">such </w:t>
      </w:r>
      <w:r w:rsidR="001258E9" w:rsidRPr="005D53B8">
        <w:rPr>
          <w:rFonts w:cs="Arial"/>
          <w:sz w:val="24"/>
        </w:rPr>
        <w:t>complaint</w:t>
      </w:r>
      <w:r w:rsidR="00B06440">
        <w:rPr>
          <w:rFonts w:cs="Arial"/>
          <w:sz w:val="24"/>
        </w:rPr>
        <w:t>s</w:t>
      </w:r>
      <w:r w:rsidR="001258E9" w:rsidRPr="005D53B8">
        <w:rPr>
          <w:rFonts w:cs="Arial"/>
          <w:sz w:val="24"/>
        </w:rPr>
        <w:t>, will not be victimised (i.e. they will not be discriminated against</w:t>
      </w:r>
      <w:r w:rsidR="00C45489">
        <w:rPr>
          <w:rFonts w:cs="Arial"/>
          <w:sz w:val="24"/>
        </w:rPr>
        <w:t xml:space="preserve"> or harassed </w:t>
      </w:r>
      <w:r w:rsidR="001258E9" w:rsidRPr="005D53B8">
        <w:rPr>
          <w:rFonts w:cs="Arial"/>
          <w:sz w:val="24"/>
        </w:rPr>
        <w:t xml:space="preserve">in retaliation for their actions). Victimisation is also discrimination contrary to the </w:t>
      </w:r>
      <w:r w:rsidR="001258E9">
        <w:rPr>
          <w:rFonts w:cs="Arial"/>
          <w:sz w:val="24"/>
        </w:rPr>
        <w:t>equality laws and this policy.</w:t>
      </w:r>
    </w:p>
    <w:p w14:paraId="61DEE890" w14:textId="77777777" w:rsidR="00E52227" w:rsidRPr="005D53B8" w:rsidRDefault="00E52227" w:rsidP="00DD59F7">
      <w:pPr>
        <w:rPr>
          <w:rFonts w:cs="Arial"/>
          <w:sz w:val="24"/>
        </w:rPr>
      </w:pPr>
    </w:p>
    <w:p w14:paraId="3F8CD313" w14:textId="77777777" w:rsidR="00DD59F7" w:rsidRPr="009D1EDE" w:rsidRDefault="00726321" w:rsidP="00E850A3">
      <w:pPr>
        <w:pStyle w:val="Heading1"/>
        <w:rPr>
          <w:color w:val="791344"/>
          <w:sz w:val="24"/>
        </w:rPr>
      </w:pPr>
      <w:r w:rsidRPr="009D1EDE">
        <w:rPr>
          <w:color w:val="791344"/>
          <w:sz w:val="24"/>
        </w:rPr>
        <w:t>3. EMPLOYEES’ RESPONSIBILITIES</w:t>
      </w:r>
    </w:p>
    <w:p w14:paraId="188A55EC" w14:textId="77777777" w:rsidR="006E1763" w:rsidRPr="006E1763" w:rsidRDefault="006E1763" w:rsidP="006E1763"/>
    <w:p w14:paraId="42FA328E" w14:textId="77777777" w:rsidR="001E7A5E" w:rsidRDefault="00EE1311" w:rsidP="001E7A5E">
      <w:pPr>
        <w:rPr>
          <w:rFonts w:cs="Arial"/>
          <w:sz w:val="24"/>
        </w:rPr>
      </w:pPr>
      <w:r w:rsidRPr="005D53B8">
        <w:rPr>
          <w:rFonts w:cs="Arial"/>
          <w:sz w:val="24"/>
        </w:rPr>
        <w:t xml:space="preserve">All </w:t>
      </w:r>
      <w:r>
        <w:rPr>
          <w:rFonts w:cs="Arial"/>
          <w:sz w:val="24"/>
        </w:rPr>
        <w:t xml:space="preserve">our </w:t>
      </w:r>
      <w:r w:rsidRPr="005D53B8">
        <w:rPr>
          <w:rFonts w:cs="Arial"/>
          <w:sz w:val="24"/>
        </w:rPr>
        <w:t xml:space="preserve">employees </w:t>
      </w:r>
      <w:r>
        <w:rPr>
          <w:rFonts w:cs="Arial"/>
          <w:sz w:val="24"/>
        </w:rPr>
        <w:t>must comply with this policy. They must treat each other with d</w:t>
      </w:r>
      <w:r w:rsidRPr="005D53B8">
        <w:rPr>
          <w:rFonts w:cs="Arial"/>
          <w:sz w:val="24"/>
        </w:rPr>
        <w:t>ignity and respec</w:t>
      </w:r>
      <w:r>
        <w:rPr>
          <w:rFonts w:cs="Arial"/>
          <w:sz w:val="24"/>
        </w:rPr>
        <w:t>t. They must not commit any acts of unlawful discrimination</w:t>
      </w:r>
      <w:r w:rsidR="00554C9D">
        <w:rPr>
          <w:rFonts w:cs="Arial"/>
          <w:sz w:val="24"/>
        </w:rPr>
        <w:t xml:space="preserve"> or </w:t>
      </w:r>
      <w:r>
        <w:rPr>
          <w:rFonts w:cs="Arial"/>
          <w:sz w:val="24"/>
        </w:rPr>
        <w:t xml:space="preserve">harassment against any other person, such as their co-workers, job applicants or customers. Such </w:t>
      </w:r>
      <w:r w:rsidR="007E04F7">
        <w:rPr>
          <w:rFonts w:cs="Arial"/>
          <w:sz w:val="24"/>
        </w:rPr>
        <w:t>behaviour</w:t>
      </w:r>
      <w:r>
        <w:rPr>
          <w:rFonts w:cs="Arial"/>
          <w:sz w:val="24"/>
        </w:rPr>
        <w:t xml:space="preserve"> </w:t>
      </w:r>
      <w:r w:rsidRPr="005D53B8">
        <w:rPr>
          <w:rFonts w:cs="Arial"/>
          <w:sz w:val="24"/>
        </w:rPr>
        <w:t xml:space="preserve">will not be permitted or condoned. </w:t>
      </w:r>
      <w:r>
        <w:rPr>
          <w:rFonts w:cs="Arial"/>
          <w:sz w:val="24"/>
        </w:rPr>
        <w:t>We</w:t>
      </w:r>
      <w:r w:rsidRPr="005D53B8">
        <w:rPr>
          <w:rFonts w:cs="Arial"/>
          <w:sz w:val="24"/>
        </w:rPr>
        <w:t xml:space="preserve"> will treat</w:t>
      </w:r>
      <w:r>
        <w:rPr>
          <w:rFonts w:cs="Arial"/>
          <w:sz w:val="24"/>
        </w:rPr>
        <w:t xml:space="preserve"> </w:t>
      </w:r>
      <w:r w:rsidR="007E04F7">
        <w:rPr>
          <w:rFonts w:cs="Arial"/>
          <w:sz w:val="24"/>
        </w:rPr>
        <w:t>it</w:t>
      </w:r>
      <w:r>
        <w:rPr>
          <w:rFonts w:cs="Arial"/>
          <w:sz w:val="24"/>
        </w:rPr>
        <w:t xml:space="preserve"> as</w:t>
      </w:r>
      <w:r w:rsidRPr="005D53B8">
        <w:rPr>
          <w:rFonts w:cs="Arial"/>
          <w:sz w:val="24"/>
        </w:rPr>
        <w:t xml:space="preserve"> misconduct which may warrant dismissal from employment</w:t>
      </w:r>
      <w:r w:rsidR="001E7A5E">
        <w:rPr>
          <w:rFonts w:cs="Arial"/>
          <w:sz w:val="24"/>
        </w:rPr>
        <w:t>, or other employment-related penalties as is appropriate.</w:t>
      </w:r>
    </w:p>
    <w:p w14:paraId="717130A1" w14:textId="77777777" w:rsidR="00D02C19" w:rsidRPr="005D53B8" w:rsidRDefault="00D02C19" w:rsidP="00EE1311">
      <w:pPr>
        <w:rPr>
          <w:rFonts w:cs="Arial"/>
          <w:sz w:val="24"/>
        </w:rPr>
      </w:pPr>
    </w:p>
    <w:p w14:paraId="1E6371F9" w14:textId="0E1FDE97" w:rsidR="00DD59F7" w:rsidRPr="005D53B8" w:rsidRDefault="00950CD9" w:rsidP="00DD59F7">
      <w:pPr>
        <w:rPr>
          <w:rFonts w:cs="Arial"/>
          <w:sz w:val="24"/>
        </w:rPr>
      </w:pPr>
      <w:r w:rsidRPr="005D53B8">
        <w:rPr>
          <w:rFonts w:cs="Arial"/>
          <w:sz w:val="24"/>
        </w:rPr>
        <w:t>All</w:t>
      </w:r>
      <w:r w:rsidR="009D18B9">
        <w:rPr>
          <w:rFonts w:cs="Arial"/>
          <w:sz w:val="24"/>
        </w:rPr>
        <w:t xml:space="preserve"> our </w:t>
      </w:r>
      <w:r w:rsidRPr="005D53B8">
        <w:rPr>
          <w:rFonts w:cs="Arial"/>
          <w:sz w:val="24"/>
        </w:rPr>
        <w:t xml:space="preserve">employees </w:t>
      </w:r>
      <w:r w:rsidR="00DD59F7" w:rsidRPr="005D53B8">
        <w:rPr>
          <w:rFonts w:cs="Arial"/>
          <w:sz w:val="24"/>
        </w:rPr>
        <w:t xml:space="preserve">should discourage </w:t>
      </w:r>
      <w:r w:rsidR="00E154E0" w:rsidRPr="005D53B8">
        <w:rPr>
          <w:rFonts w:cs="Arial"/>
          <w:sz w:val="24"/>
        </w:rPr>
        <w:t>discrimination</w:t>
      </w:r>
      <w:r w:rsidR="00280A2F">
        <w:rPr>
          <w:rFonts w:cs="Arial"/>
          <w:sz w:val="24"/>
        </w:rPr>
        <w:t xml:space="preserve"> and</w:t>
      </w:r>
      <w:r w:rsidR="00E154E0" w:rsidRPr="005D53B8">
        <w:rPr>
          <w:rFonts w:cs="Arial"/>
          <w:sz w:val="24"/>
        </w:rPr>
        <w:t xml:space="preserve"> </w:t>
      </w:r>
      <w:r w:rsidR="00DD59F7" w:rsidRPr="005D53B8">
        <w:rPr>
          <w:rFonts w:cs="Arial"/>
          <w:sz w:val="24"/>
        </w:rPr>
        <w:t xml:space="preserve">harassment by making it clear that they find such behaviour unacceptable and by supporting </w:t>
      </w:r>
      <w:r w:rsidR="00802762">
        <w:rPr>
          <w:rFonts w:cs="Arial"/>
          <w:sz w:val="24"/>
        </w:rPr>
        <w:t>co-workers</w:t>
      </w:r>
      <w:r w:rsidRPr="005D53B8">
        <w:rPr>
          <w:rFonts w:cs="Arial"/>
          <w:sz w:val="24"/>
        </w:rPr>
        <w:t xml:space="preserve"> who suffer such treatment</w:t>
      </w:r>
      <w:r w:rsidR="00DD59F7" w:rsidRPr="005D53B8">
        <w:rPr>
          <w:rFonts w:cs="Arial"/>
          <w:sz w:val="24"/>
        </w:rPr>
        <w:t xml:space="preserve">. Any employee who is aware of any incident of </w:t>
      </w:r>
      <w:r w:rsidR="009E3F96" w:rsidRPr="005D53B8">
        <w:rPr>
          <w:rFonts w:cs="Arial"/>
          <w:sz w:val="24"/>
        </w:rPr>
        <w:t>discrimination</w:t>
      </w:r>
      <w:r w:rsidR="00D97257">
        <w:rPr>
          <w:rFonts w:cs="Arial"/>
          <w:sz w:val="24"/>
        </w:rPr>
        <w:t xml:space="preserve"> or</w:t>
      </w:r>
      <w:r w:rsidR="009E3F96" w:rsidRPr="005D53B8">
        <w:rPr>
          <w:rFonts w:cs="Arial"/>
          <w:sz w:val="24"/>
        </w:rPr>
        <w:t xml:space="preserve"> </w:t>
      </w:r>
      <w:r w:rsidR="00DD59F7" w:rsidRPr="005D53B8">
        <w:rPr>
          <w:rFonts w:cs="Arial"/>
          <w:sz w:val="24"/>
        </w:rPr>
        <w:t xml:space="preserve">harassment should alert a </w:t>
      </w:r>
      <w:r w:rsidR="00000AF0" w:rsidRPr="005D53B8">
        <w:rPr>
          <w:rFonts w:cs="Arial"/>
          <w:sz w:val="24"/>
        </w:rPr>
        <w:t>manager or supervisor</w:t>
      </w:r>
      <w:r w:rsidR="00DD59F7" w:rsidRPr="005D53B8">
        <w:rPr>
          <w:rFonts w:cs="Arial"/>
          <w:sz w:val="24"/>
        </w:rPr>
        <w:t xml:space="preserve"> to enable </w:t>
      </w:r>
      <w:r w:rsidR="009D18B9">
        <w:rPr>
          <w:rFonts w:cs="Arial"/>
          <w:sz w:val="24"/>
        </w:rPr>
        <w:t>us</w:t>
      </w:r>
      <w:r w:rsidR="00DD59F7" w:rsidRPr="005D53B8">
        <w:rPr>
          <w:rFonts w:cs="Arial"/>
          <w:sz w:val="24"/>
        </w:rPr>
        <w:t xml:space="preserve"> to deal with it.</w:t>
      </w:r>
    </w:p>
    <w:p w14:paraId="68181D12" w14:textId="77777777" w:rsidR="00F35A60" w:rsidRPr="005D53B8" w:rsidRDefault="00F35A60" w:rsidP="004C32A0">
      <w:pPr>
        <w:rPr>
          <w:rFonts w:cs="Arial"/>
          <w:sz w:val="24"/>
        </w:rPr>
      </w:pPr>
    </w:p>
    <w:p w14:paraId="00201D8D" w14:textId="77777777" w:rsidR="006B125B" w:rsidRPr="009D1EDE" w:rsidRDefault="00726321" w:rsidP="00E850A3">
      <w:pPr>
        <w:pStyle w:val="Heading1"/>
        <w:rPr>
          <w:color w:val="791344"/>
          <w:sz w:val="24"/>
        </w:rPr>
      </w:pPr>
      <w:r w:rsidRPr="009D1EDE">
        <w:rPr>
          <w:color w:val="791344"/>
          <w:sz w:val="24"/>
        </w:rPr>
        <w:t>4. EMPLOYER’S RESPONSIBILITIES</w:t>
      </w:r>
    </w:p>
    <w:p w14:paraId="6B1A4DD0" w14:textId="77777777" w:rsidR="00A502AC" w:rsidRPr="008A0B99" w:rsidRDefault="00A502AC" w:rsidP="006B125B">
      <w:pPr>
        <w:rPr>
          <w:rFonts w:cs="Arial"/>
          <w:b/>
          <w:color w:val="800000"/>
          <w:sz w:val="24"/>
        </w:rPr>
      </w:pPr>
    </w:p>
    <w:p w14:paraId="6B28091E" w14:textId="464F27B5" w:rsidR="007E0DF0" w:rsidRPr="005D53B8" w:rsidRDefault="00296C6E" w:rsidP="007E0DF0">
      <w:pPr>
        <w:rPr>
          <w:rFonts w:cs="Arial"/>
          <w:sz w:val="24"/>
        </w:rPr>
      </w:pPr>
      <w:r>
        <w:rPr>
          <w:rFonts w:cs="Arial"/>
          <w:sz w:val="24"/>
        </w:rPr>
        <w:t xml:space="preserve">We </w:t>
      </w:r>
      <w:r w:rsidR="00CF1EC4">
        <w:rPr>
          <w:rFonts w:cs="Arial"/>
          <w:sz w:val="24"/>
        </w:rPr>
        <w:t xml:space="preserve">will continually make </w:t>
      </w:r>
      <w:r>
        <w:rPr>
          <w:rFonts w:cs="Arial"/>
          <w:sz w:val="24"/>
        </w:rPr>
        <w:t>good faith efforts to implement this policy</w:t>
      </w:r>
      <w:r w:rsidR="00913DC3" w:rsidRPr="005D53B8">
        <w:rPr>
          <w:rFonts w:cs="Arial"/>
          <w:sz w:val="24"/>
        </w:rPr>
        <w:t xml:space="preserve">. This responsibility will be carried out by </w:t>
      </w:r>
      <w:proofErr w:type="gramStart"/>
      <w:r w:rsidR="00913DC3" w:rsidRPr="00296C6E">
        <w:rPr>
          <w:rFonts w:cs="Arial"/>
          <w:i/>
          <w:sz w:val="24"/>
        </w:rPr>
        <w:t>[ insert</w:t>
      </w:r>
      <w:proofErr w:type="gramEnd"/>
      <w:r w:rsidR="00913DC3" w:rsidRPr="00296C6E">
        <w:rPr>
          <w:rFonts w:cs="Arial"/>
          <w:i/>
          <w:sz w:val="24"/>
        </w:rPr>
        <w:t xml:space="preserve"> name </w:t>
      </w:r>
      <w:r w:rsidRPr="00296C6E">
        <w:rPr>
          <w:rFonts w:cs="Arial"/>
          <w:i/>
          <w:sz w:val="24"/>
        </w:rPr>
        <w:t xml:space="preserve">or job title </w:t>
      </w:r>
      <w:r w:rsidR="00913DC3" w:rsidRPr="00296C6E">
        <w:rPr>
          <w:rFonts w:cs="Arial"/>
          <w:i/>
          <w:sz w:val="24"/>
        </w:rPr>
        <w:t>of appropriate senior manager ].</w:t>
      </w:r>
      <w:r w:rsidR="00F7481B">
        <w:rPr>
          <w:rFonts w:cs="Arial"/>
          <w:i/>
          <w:sz w:val="24"/>
        </w:rPr>
        <w:t xml:space="preserve"> </w:t>
      </w:r>
      <w:r w:rsidR="0062069D">
        <w:rPr>
          <w:rFonts w:cs="Arial"/>
          <w:sz w:val="24"/>
        </w:rPr>
        <w:t>We will:</w:t>
      </w:r>
    </w:p>
    <w:p w14:paraId="79F2A2FB" w14:textId="77777777" w:rsidR="00DD59F7" w:rsidRPr="005D53B8" w:rsidRDefault="00DD59F7" w:rsidP="00DD59F7">
      <w:pPr>
        <w:rPr>
          <w:rFonts w:cs="Arial"/>
          <w:sz w:val="24"/>
        </w:rPr>
      </w:pPr>
    </w:p>
    <w:p w14:paraId="6C63645A" w14:textId="056D4E63" w:rsidR="0097203E" w:rsidRDefault="00F7481B" w:rsidP="0097203E">
      <w:pPr>
        <w:numPr>
          <w:ilvl w:val="0"/>
          <w:numId w:val="14"/>
        </w:numPr>
        <w:rPr>
          <w:rFonts w:cs="Arial"/>
          <w:sz w:val="24"/>
        </w:rPr>
      </w:pPr>
      <w:proofErr w:type="gramStart"/>
      <w:r>
        <w:rPr>
          <w:rFonts w:cs="Arial"/>
          <w:sz w:val="24"/>
        </w:rPr>
        <w:lastRenderedPageBreak/>
        <w:t>provide</w:t>
      </w:r>
      <w:proofErr w:type="gramEnd"/>
      <w:r>
        <w:rPr>
          <w:rFonts w:cs="Arial"/>
          <w:sz w:val="24"/>
        </w:rPr>
        <w:t xml:space="preserve"> all employees with </w:t>
      </w:r>
      <w:r w:rsidR="00382D8D" w:rsidRPr="005D53B8">
        <w:rPr>
          <w:rFonts w:cs="Arial"/>
          <w:sz w:val="24"/>
        </w:rPr>
        <w:t>a copy of this</w:t>
      </w:r>
      <w:r w:rsidR="0097203E">
        <w:rPr>
          <w:rFonts w:cs="Arial"/>
          <w:sz w:val="24"/>
        </w:rPr>
        <w:t xml:space="preserve"> policy.</w:t>
      </w:r>
    </w:p>
    <w:p w14:paraId="4D64D0FB" w14:textId="77777777" w:rsidR="00634654" w:rsidRPr="008A0B99" w:rsidRDefault="00634654" w:rsidP="00634654">
      <w:pPr>
        <w:rPr>
          <w:rFonts w:cs="Arial"/>
          <w:sz w:val="24"/>
        </w:rPr>
      </w:pPr>
    </w:p>
    <w:p w14:paraId="5A3794B2" w14:textId="31069370" w:rsidR="00634654" w:rsidRDefault="009572A2" w:rsidP="00634654">
      <w:pPr>
        <w:numPr>
          <w:ilvl w:val="0"/>
          <w:numId w:val="14"/>
        </w:numPr>
        <w:rPr>
          <w:rFonts w:cs="Arial"/>
          <w:sz w:val="24"/>
        </w:rPr>
      </w:pPr>
      <w:proofErr w:type="gramStart"/>
      <w:r>
        <w:rPr>
          <w:rFonts w:cs="Arial"/>
          <w:sz w:val="24"/>
        </w:rPr>
        <w:t>e</w:t>
      </w:r>
      <w:r w:rsidR="000B3A4F" w:rsidRPr="005D53B8">
        <w:rPr>
          <w:rFonts w:cs="Arial"/>
          <w:sz w:val="24"/>
        </w:rPr>
        <w:t>nsure</w:t>
      </w:r>
      <w:proofErr w:type="gramEnd"/>
      <w:r w:rsidR="000B3A4F" w:rsidRPr="005D53B8">
        <w:rPr>
          <w:rFonts w:cs="Arial"/>
          <w:sz w:val="24"/>
        </w:rPr>
        <w:t xml:space="preserve"> that all complaints of</w:t>
      </w:r>
      <w:r w:rsidR="00C638F0">
        <w:rPr>
          <w:rFonts w:cs="Arial"/>
          <w:sz w:val="24"/>
        </w:rPr>
        <w:t xml:space="preserve"> discrimination</w:t>
      </w:r>
      <w:r w:rsidR="00280A2F">
        <w:rPr>
          <w:rFonts w:cs="Arial"/>
          <w:sz w:val="24"/>
        </w:rPr>
        <w:t xml:space="preserve"> and</w:t>
      </w:r>
      <w:r w:rsidR="000362EB" w:rsidRPr="005D53B8">
        <w:rPr>
          <w:rFonts w:cs="Arial"/>
          <w:sz w:val="24"/>
        </w:rPr>
        <w:t xml:space="preserve"> </w:t>
      </w:r>
      <w:r w:rsidR="000B3A4F" w:rsidRPr="005D53B8">
        <w:rPr>
          <w:rFonts w:cs="Arial"/>
          <w:sz w:val="24"/>
        </w:rPr>
        <w:t>harassment</w:t>
      </w:r>
      <w:r w:rsidR="00280A2F">
        <w:rPr>
          <w:rFonts w:cs="Arial"/>
          <w:sz w:val="24"/>
        </w:rPr>
        <w:t xml:space="preserve"> </w:t>
      </w:r>
      <w:r w:rsidR="000B3A4F" w:rsidRPr="005D53B8">
        <w:rPr>
          <w:rFonts w:cs="Arial"/>
          <w:sz w:val="24"/>
        </w:rPr>
        <w:t>are dealt with promptl</w:t>
      </w:r>
      <w:r w:rsidR="00ED39C0">
        <w:rPr>
          <w:rFonts w:cs="Arial"/>
          <w:sz w:val="24"/>
        </w:rPr>
        <w:t xml:space="preserve">y, seriously and confidentially and in accordance with our internal </w:t>
      </w:r>
      <w:r w:rsidR="001A768C">
        <w:rPr>
          <w:rFonts w:cs="Arial"/>
          <w:sz w:val="24"/>
        </w:rPr>
        <w:t xml:space="preserve">grievance </w:t>
      </w:r>
      <w:r w:rsidR="00ED39C0">
        <w:rPr>
          <w:rFonts w:cs="Arial"/>
          <w:sz w:val="24"/>
        </w:rPr>
        <w:t>proc</w:t>
      </w:r>
      <w:r w:rsidR="0023498C">
        <w:rPr>
          <w:rFonts w:cs="Arial"/>
          <w:sz w:val="24"/>
        </w:rPr>
        <w:t>e</w:t>
      </w:r>
      <w:r w:rsidR="00ED39C0">
        <w:rPr>
          <w:rFonts w:cs="Arial"/>
          <w:sz w:val="24"/>
        </w:rPr>
        <w:t>dure.</w:t>
      </w:r>
    </w:p>
    <w:p w14:paraId="6452EF4D" w14:textId="6383ED23" w:rsidR="00634654" w:rsidRPr="00634654" w:rsidRDefault="00634654" w:rsidP="00634654">
      <w:pPr>
        <w:rPr>
          <w:rFonts w:cs="Arial"/>
          <w:sz w:val="24"/>
        </w:rPr>
      </w:pPr>
    </w:p>
    <w:p w14:paraId="77143052" w14:textId="572D3C44" w:rsidR="00DD59F7" w:rsidRDefault="009572A2" w:rsidP="00DD59F7">
      <w:pPr>
        <w:numPr>
          <w:ilvl w:val="0"/>
          <w:numId w:val="14"/>
        </w:numPr>
        <w:rPr>
          <w:rFonts w:cs="Arial"/>
          <w:sz w:val="24"/>
        </w:rPr>
      </w:pPr>
      <w:proofErr w:type="gramStart"/>
      <w:r>
        <w:rPr>
          <w:rFonts w:cs="Arial"/>
          <w:sz w:val="24"/>
        </w:rPr>
        <w:t>s</w:t>
      </w:r>
      <w:r w:rsidR="00DD59F7" w:rsidRPr="005D53B8">
        <w:rPr>
          <w:rFonts w:cs="Arial"/>
          <w:sz w:val="24"/>
        </w:rPr>
        <w:t>et</w:t>
      </w:r>
      <w:proofErr w:type="gramEnd"/>
      <w:r w:rsidR="00DD59F7" w:rsidRPr="005D53B8">
        <w:rPr>
          <w:rFonts w:cs="Arial"/>
          <w:sz w:val="24"/>
        </w:rPr>
        <w:t xml:space="preserve"> a good example by treating </w:t>
      </w:r>
      <w:r w:rsidR="00A5016E" w:rsidRPr="005D53B8">
        <w:rPr>
          <w:rFonts w:cs="Arial"/>
          <w:sz w:val="24"/>
        </w:rPr>
        <w:t>employees</w:t>
      </w:r>
      <w:r w:rsidR="00DD59F7" w:rsidRPr="005D53B8">
        <w:rPr>
          <w:rFonts w:cs="Arial"/>
          <w:sz w:val="24"/>
        </w:rPr>
        <w:t xml:space="preserve"> with </w:t>
      </w:r>
      <w:r w:rsidR="00ED39C0">
        <w:rPr>
          <w:rFonts w:cs="Arial"/>
          <w:sz w:val="24"/>
        </w:rPr>
        <w:t xml:space="preserve">fairness, </w:t>
      </w:r>
      <w:r w:rsidR="00DD59F7" w:rsidRPr="005D53B8">
        <w:rPr>
          <w:rFonts w:cs="Arial"/>
          <w:sz w:val="24"/>
        </w:rPr>
        <w:t>dignity and respect</w:t>
      </w:r>
      <w:r w:rsidR="0023498C">
        <w:rPr>
          <w:rFonts w:cs="Arial"/>
          <w:sz w:val="24"/>
        </w:rPr>
        <w:t>.</w:t>
      </w:r>
    </w:p>
    <w:p w14:paraId="7D6DF3C3" w14:textId="3070F05F" w:rsidR="00634654" w:rsidRPr="008A0B99" w:rsidRDefault="00634654" w:rsidP="00634654">
      <w:pPr>
        <w:rPr>
          <w:rFonts w:cs="Arial"/>
          <w:sz w:val="24"/>
        </w:rPr>
      </w:pPr>
    </w:p>
    <w:p w14:paraId="5C8E9ECA" w14:textId="77C23377" w:rsidR="00F96FDF" w:rsidRPr="00634654" w:rsidRDefault="009572A2" w:rsidP="00F96FDF">
      <w:pPr>
        <w:numPr>
          <w:ilvl w:val="0"/>
          <w:numId w:val="14"/>
        </w:numPr>
        <w:rPr>
          <w:rFonts w:cs="Arial"/>
          <w:b/>
          <w:sz w:val="24"/>
        </w:rPr>
      </w:pPr>
      <w:proofErr w:type="gramStart"/>
      <w:r>
        <w:rPr>
          <w:rFonts w:cs="Arial"/>
          <w:sz w:val="24"/>
        </w:rPr>
        <w:t>b</w:t>
      </w:r>
      <w:r w:rsidR="00DD59F7" w:rsidRPr="005D53B8">
        <w:rPr>
          <w:rFonts w:cs="Arial"/>
          <w:sz w:val="24"/>
        </w:rPr>
        <w:t>e</w:t>
      </w:r>
      <w:proofErr w:type="gramEnd"/>
      <w:r w:rsidR="00DD59F7" w:rsidRPr="005D53B8">
        <w:rPr>
          <w:rFonts w:cs="Arial"/>
          <w:sz w:val="24"/>
        </w:rPr>
        <w:t xml:space="preserve"> alert to unacceptable behaviour and </w:t>
      </w:r>
      <w:r w:rsidR="00205A85">
        <w:rPr>
          <w:rFonts w:cs="Arial"/>
          <w:sz w:val="24"/>
        </w:rPr>
        <w:t xml:space="preserve">will </w:t>
      </w:r>
      <w:r w:rsidR="00DD59F7" w:rsidRPr="005D53B8">
        <w:rPr>
          <w:rFonts w:cs="Arial"/>
          <w:sz w:val="24"/>
        </w:rPr>
        <w:t xml:space="preserve">take appropriate action </w:t>
      </w:r>
      <w:r w:rsidR="0023498C">
        <w:rPr>
          <w:rFonts w:cs="Arial"/>
          <w:sz w:val="24"/>
        </w:rPr>
        <w:t>to stop it</w:t>
      </w:r>
      <w:r w:rsidR="0077146F">
        <w:rPr>
          <w:rFonts w:cs="Arial"/>
          <w:sz w:val="24"/>
        </w:rPr>
        <w:t>.</w:t>
      </w:r>
    </w:p>
    <w:p w14:paraId="703D5CF4" w14:textId="77777777" w:rsidR="00634654" w:rsidRPr="008A0B99" w:rsidRDefault="00634654" w:rsidP="00634654">
      <w:pPr>
        <w:rPr>
          <w:rFonts w:cs="Arial"/>
          <w:b/>
          <w:sz w:val="24"/>
        </w:rPr>
      </w:pPr>
    </w:p>
    <w:p w14:paraId="666EA5E3" w14:textId="270EE1A7" w:rsidR="005F3B26" w:rsidRPr="005D53B8" w:rsidRDefault="009572A2">
      <w:pPr>
        <w:numPr>
          <w:ilvl w:val="0"/>
          <w:numId w:val="14"/>
        </w:numPr>
        <w:rPr>
          <w:rFonts w:cs="Arial"/>
          <w:sz w:val="24"/>
        </w:rPr>
      </w:pPr>
      <w:proofErr w:type="gramStart"/>
      <w:r>
        <w:rPr>
          <w:rFonts w:cs="Arial"/>
          <w:sz w:val="24"/>
        </w:rPr>
        <w:t>m</w:t>
      </w:r>
      <w:r w:rsidR="00F96FDF" w:rsidRPr="005D53B8">
        <w:rPr>
          <w:rFonts w:cs="Arial"/>
          <w:sz w:val="24"/>
        </w:rPr>
        <w:t>onitor</w:t>
      </w:r>
      <w:proofErr w:type="gramEnd"/>
      <w:r w:rsidR="00F96FDF" w:rsidRPr="005D53B8">
        <w:rPr>
          <w:rFonts w:cs="Arial"/>
          <w:sz w:val="24"/>
        </w:rPr>
        <w:t xml:space="preserve"> all incidents of </w:t>
      </w:r>
      <w:r w:rsidR="00FA073C" w:rsidRPr="005D53B8">
        <w:rPr>
          <w:rFonts w:cs="Arial"/>
          <w:sz w:val="24"/>
        </w:rPr>
        <w:t>discrimination</w:t>
      </w:r>
      <w:r w:rsidR="00280A2F">
        <w:rPr>
          <w:rFonts w:cs="Arial"/>
          <w:sz w:val="24"/>
        </w:rPr>
        <w:t xml:space="preserve"> and harassment</w:t>
      </w:r>
      <w:r w:rsidR="00C638F0">
        <w:rPr>
          <w:rFonts w:cs="Arial"/>
          <w:sz w:val="24"/>
        </w:rPr>
        <w:t xml:space="preserve"> </w:t>
      </w:r>
      <w:r w:rsidR="00F96FDF" w:rsidRPr="005D53B8">
        <w:rPr>
          <w:rFonts w:cs="Arial"/>
          <w:sz w:val="24"/>
        </w:rPr>
        <w:t>and review the effectiveness of this policy periodically.</w:t>
      </w:r>
    </w:p>
    <w:p w14:paraId="3DDEF4FE" w14:textId="77777777" w:rsidR="008A4F75" w:rsidRPr="005D53B8" w:rsidRDefault="008A4F75" w:rsidP="00F1607E">
      <w:pPr>
        <w:rPr>
          <w:rFonts w:cs="Arial"/>
          <w:sz w:val="24"/>
        </w:rPr>
      </w:pPr>
    </w:p>
    <w:p w14:paraId="2D6993F5" w14:textId="405A7635" w:rsidR="00F1607E" w:rsidRPr="009D1EDE" w:rsidRDefault="00726321" w:rsidP="00E850A3">
      <w:pPr>
        <w:pStyle w:val="Heading1"/>
        <w:rPr>
          <w:color w:val="791344"/>
          <w:sz w:val="24"/>
        </w:rPr>
      </w:pPr>
      <w:r w:rsidRPr="009D1EDE">
        <w:rPr>
          <w:color w:val="791344"/>
          <w:sz w:val="24"/>
        </w:rPr>
        <w:t>5. MONITORING AND REVIEW</w:t>
      </w:r>
    </w:p>
    <w:p w14:paraId="465DF61F" w14:textId="61FCCEC8" w:rsidR="00A502AC" w:rsidRPr="00071FFC" w:rsidRDefault="00A502AC" w:rsidP="00F1607E">
      <w:pPr>
        <w:rPr>
          <w:rFonts w:cs="Arial"/>
          <w:sz w:val="24"/>
        </w:rPr>
      </w:pPr>
    </w:p>
    <w:p w14:paraId="6C832B1A" w14:textId="764A9408" w:rsidR="00071FFC" w:rsidRPr="00245332" w:rsidRDefault="00071FFC" w:rsidP="00071FFC">
      <w:pPr>
        <w:rPr>
          <w:rFonts w:cs="Arial"/>
          <w:sz w:val="24"/>
        </w:rPr>
      </w:pPr>
      <w:r w:rsidRPr="00245332">
        <w:rPr>
          <w:rFonts w:cs="Arial"/>
          <w:sz w:val="24"/>
        </w:rPr>
        <w:t xml:space="preserve">We will monitor all incidents of alleged </w:t>
      </w:r>
      <w:r w:rsidR="00834ABD" w:rsidRPr="00245332">
        <w:rPr>
          <w:rFonts w:cs="Arial"/>
          <w:sz w:val="24"/>
        </w:rPr>
        <w:t xml:space="preserve">discrimination, </w:t>
      </w:r>
      <w:r w:rsidRPr="00245332">
        <w:rPr>
          <w:rFonts w:cs="Arial"/>
          <w:sz w:val="24"/>
        </w:rPr>
        <w:t>harassment and bullying and we will review the effectiven</w:t>
      </w:r>
      <w:r w:rsidR="00446A27">
        <w:rPr>
          <w:rFonts w:cs="Arial"/>
          <w:sz w:val="24"/>
        </w:rPr>
        <w:t xml:space="preserve">ess of this policy periodically </w:t>
      </w:r>
      <w:r w:rsidR="00446A27" w:rsidRPr="00446A27">
        <w:rPr>
          <w:rFonts w:cs="Arial"/>
          <w:i/>
          <w:sz w:val="24"/>
        </w:rPr>
        <w:t>[or, insert time frame: no less than every three years is recommended]</w:t>
      </w:r>
      <w:r w:rsidR="00446A27">
        <w:rPr>
          <w:rFonts w:cs="Arial"/>
          <w:sz w:val="24"/>
        </w:rPr>
        <w:t>.</w:t>
      </w:r>
    </w:p>
    <w:p w14:paraId="7F196FAA" w14:textId="7DA8D5AE" w:rsidR="00071FFC" w:rsidRPr="00245332" w:rsidRDefault="00071FFC" w:rsidP="00071FFC">
      <w:pPr>
        <w:rPr>
          <w:rFonts w:cs="Arial"/>
          <w:sz w:val="24"/>
        </w:rPr>
      </w:pPr>
    </w:p>
    <w:p w14:paraId="511A7DEE" w14:textId="5C601C52" w:rsidR="00245332" w:rsidRPr="00245332" w:rsidRDefault="00245332" w:rsidP="00071FFC">
      <w:pPr>
        <w:rPr>
          <w:rFonts w:cs="Arial"/>
          <w:sz w:val="24"/>
        </w:rPr>
      </w:pPr>
      <w:r w:rsidRPr="00245332">
        <w:rPr>
          <w:sz w:val="24"/>
        </w:rPr>
        <w:t>Where such monitoring or review identifies an</w:t>
      </w:r>
      <w:r>
        <w:rPr>
          <w:sz w:val="24"/>
        </w:rPr>
        <w:t>y</w:t>
      </w:r>
      <w:r w:rsidRPr="00245332">
        <w:rPr>
          <w:sz w:val="24"/>
        </w:rPr>
        <w:t xml:space="preserve"> area</w:t>
      </w:r>
      <w:r>
        <w:rPr>
          <w:sz w:val="24"/>
        </w:rPr>
        <w:t>s</w:t>
      </w:r>
      <w:r w:rsidRPr="00245332">
        <w:rPr>
          <w:sz w:val="24"/>
        </w:rPr>
        <w:t xml:space="preserve"> for improvement, we </w:t>
      </w:r>
      <w:r>
        <w:rPr>
          <w:sz w:val="24"/>
        </w:rPr>
        <w:t>wi</w:t>
      </w:r>
      <w:r w:rsidRPr="00245332">
        <w:rPr>
          <w:sz w:val="24"/>
        </w:rPr>
        <w:t>ll develop an action plan to address the issue.</w:t>
      </w:r>
    </w:p>
    <w:p w14:paraId="2D967DF5" w14:textId="77777777" w:rsidR="00245332" w:rsidRPr="00071FFC" w:rsidRDefault="00245332" w:rsidP="00071FFC">
      <w:pPr>
        <w:rPr>
          <w:rFonts w:cs="Arial"/>
          <w:sz w:val="24"/>
        </w:rPr>
      </w:pPr>
    </w:p>
    <w:p w14:paraId="02085FD5" w14:textId="2A3787D5" w:rsidR="00071FFC" w:rsidRPr="00071FFC" w:rsidRDefault="00071FFC" w:rsidP="00F1607E">
      <w:pPr>
        <w:rPr>
          <w:rFonts w:cs="Arial"/>
          <w:sz w:val="24"/>
          <w:u w:val="single"/>
        </w:rPr>
      </w:pPr>
      <w:r w:rsidRPr="00071FFC">
        <w:rPr>
          <w:rFonts w:cs="Arial"/>
          <w:sz w:val="24"/>
          <w:u w:val="single"/>
        </w:rPr>
        <w:t>Fair Employment &amp; Treatment (NI) Order 1998</w:t>
      </w:r>
      <w:r w:rsidRPr="00071FFC">
        <w:rPr>
          <w:rStyle w:val="FootnoteReference"/>
          <w:rFonts w:cs="Arial"/>
          <w:sz w:val="24"/>
        </w:rPr>
        <w:footnoteReference w:id="2"/>
      </w:r>
    </w:p>
    <w:p w14:paraId="1DB7CE1E" w14:textId="6F2F3B71" w:rsidR="00F1607E" w:rsidRDefault="008A4F75" w:rsidP="00F1607E">
      <w:pPr>
        <w:rPr>
          <w:rFonts w:cs="Arial"/>
          <w:sz w:val="24"/>
        </w:rPr>
      </w:pPr>
      <w:r>
        <w:rPr>
          <w:rFonts w:cs="Arial"/>
          <w:sz w:val="24"/>
        </w:rPr>
        <w:t xml:space="preserve">We are registered with the Equality Commission for the purposes of the </w:t>
      </w:r>
      <w:r w:rsidRPr="008A4F75">
        <w:rPr>
          <w:rFonts w:cs="Arial"/>
          <w:i/>
          <w:sz w:val="24"/>
        </w:rPr>
        <w:t>Fair Employment &amp; Treatment (NI) Order 1998</w:t>
      </w:r>
      <w:r>
        <w:rPr>
          <w:rFonts w:cs="Arial"/>
          <w:sz w:val="24"/>
        </w:rPr>
        <w:t xml:space="preserve">. As such we are obliged to monitor the </w:t>
      </w:r>
      <w:r w:rsidRPr="008A4F75">
        <w:rPr>
          <w:rFonts w:cs="Arial"/>
          <w:i/>
          <w:sz w:val="24"/>
        </w:rPr>
        <w:t>community background</w:t>
      </w:r>
      <w:r>
        <w:rPr>
          <w:rFonts w:cs="Arial"/>
          <w:sz w:val="24"/>
        </w:rPr>
        <w:t xml:space="preserve"> and </w:t>
      </w:r>
      <w:r w:rsidRPr="008A4F75">
        <w:rPr>
          <w:rFonts w:cs="Arial"/>
          <w:i/>
          <w:sz w:val="24"/>
        </w:rPr>
        <w:t>sex</w:t>
      </w:r>
      <w:r>
        <w:rPr>
          <w:rFonts w:cs="Arial"/>
          <w:sz w:val="24"/>
        </w:rPr>
        <w:t xml:space="preserve"> of our job applicants and workforce. We are also obliged to review the composition of our workforce and </w:t>
      </w:r>
      <w:r w:rsidR="008B5FC8">
        <w:rPr>
          <w:rFonts w:cs="Arial"/>
          <w:sz w:val="24"/>
        </w:rPr>
        <w:t xml:space="preserve">our </w:t>
      </w:r>
      <w:r>
        <w:rPr>
          <w:rFonts w:cs="Arial"/>
          <w:sz w:val="24"/>
        </w:rPr>
        <w:t>employment policies and practices</w:t>
      </w:r>
      <w:r w:rsidR="008B5FC8">
        <w:rPr>
          <w:rFonts w:cs="Arial"/>
          <w:sz w:val="24"/>
        </w:rPr>
        <w:t xml:space="preserve"> every three years and, where appropriate, to consider taking affirmative action</w:t>
      </w:r>
      <w:r w:rsidR="00B63959">
        <w:rPr>
          <w:rFonts w:cs="Arial"/>
          <w:sz w:val="24"/>
        </w:rPr>
        <w:t xml:space="preserve"> to promote fair participation between members of the Protestant and Roman Catholic communities</w:t>
      </w:r>
      <w:r w:rsidR="008B5FC8">
        <w:rPr>
          <w:rFonts w:cs="Arial"/>
          <w:sz w:val="24"/>
        </w:rPr>
        <w:t xml:space="preserve">. We are committed to complying with these duties and will </w:t>
      </w:r>
      <w:r w:rsidR="00B63959">
        <w:rPr>
          <w:rFonts w:cs="Arial"/>
          <w:sz w:val="24"/>
        </w:rPr>
        <w:t>[have]</w:t>
      </w:r>
      <w:r w:rsidR="008B5FC8">
        <w:rPr>
          <w:rFonts w:cs="Arial"/>
          <w:sz w:val="24"/>
        </w:rPr>
        <w:t xml:space="preserve"> </w:t>
      </w:r>
      <w:r w:rsidR="00B63959">
        <w:rPr>
          <w:rFonts w:cs="Arial"/>
          <w:sz w:val="24"/>
        </w:rPr>
        <w:t xml:space="preserve">set up </w:t>
      </w:r>
      <w:r w:rsidR="008B5FC8">
        <w:rPr>
          <w:rFonts w:cs="Arial"/>
          <w:sz w:val="24"/>
        </w:rPr>
        <w:t>suitable arrangements to ensure that we do so.</w:t>
      </w:r>
    </w:p>
    <w:p w14:paraId="2F6B19FC" w14:textId="77777777" w:rsidR="008A4F75" w:rsidRDefault="008A4F75" w:rsidP="00F1607E">
      <w:pPr>
        <w:rPr>
          <w:rFonts w:cs="Arial"/>
          <w:sz w:val="24"/>
        </w:rPr>
      </w:pPr>
    </w:p>
    <w:p w14:paraId="3AD09E28" w14:textId="2E1A559E" w:rsidR="008B5FC8" w:rsidRPr="00071FFC" w:rsidRDefault="008B5FC8" w:rsidP="00F1607E">
      <w:pPr>
        <w:rPr>
          <w:rFonts w:cs="Arial"/>
          <w:sz w:val="24"/>
        </w:rPr>
      </w:pPr>
      <w:r w:rsidRPr="00071FFC">
        <w:rPr>
          <w:rFonts w:cs="Arial"/>
          <w:b/>
          <w:i/>
          <w:sz w:val="24"/>
        </w:rPr>
        <w:t>Optional</w:t>
      </w:r>
      <w:r w:rsidR="00071FFC" w:rsidRPr="00071FFC">
        <w:rPr>
          <w:rStyle w:val="FootnoteReference"/>
          <w:rFonts w:cs="Arial"/>
          <w:sz w:val="24"/>
        </w:rPr>
        <w:footnoteReference w:id="3"/>
      </w:r>
    </w:p>
    <w:p w14:paraId="7050348D" w14:textId="667160F5" w:rsidR="008B5FC8" w:rsidRDefault="008B5FC8" w:rsidP="00F1607E">
      <w:pPr>
        <w:rPr>
          <w:rFonts w:cs="Arial"/>
          <w:sz w:val="24"/>
        </w:rPr>
      </w:pPr>
      <w:r>
        <w:rPr>
          <w:rFonts w:cs="Arial"/>
          <w:i/>
          <w:sz w:val="24"/>
        </w:rPr>
        <w:t xml:space="preserve">In addition, we will also monitor and review our job applicants and workforce in relation to the following equality characteristics: (Insert which grounds, e.g. </w:t>
      </w:r>
      <w:r w:rsidR="00D97257">
        <w:rPr>
          <w:rFonts w:cs="Arial"/>
          <w:i/>
          <w:sz w:val="24"/>
        </w:rPr>
        <w:t xml:space="preserve">sex / </w:t>
      </w:r>
      <w:r>
        <w:rPr>
          <w:rFonts w:cs="Arial"/>
          <w:i/>
          <w:sz w:val="24"/>
        </w:rPr>
        <w:t xml:space="preserve">racial group / disability / </w:t>
      </w:r>
      <w:r w:rsidR="004F2FCD">
        <w:rPr>
          <w:rFonts w:cs="Arial"/>
          <w:i/>
          <w:sz w:val="24"/>
        </w:rPr>
        <w:t xml:space="preserve">gender reassignment / </w:t>
      </w:r>
      <w:r w:rsidR="000A4D18">
        <w:rPr>
          <w:rFonts w:cs="Arial"/>
          <w:i/>
          <w:sz w:val="24"/>
        </w:rPr>
        <w:t>sexual orientation / age / mar</w:t>
      </w:r>
      <w:r w:rsidR="00A12B01">
        <w:rPr>
          <w:rFonts w:cs="Arial"/>
          <w:i/>
          <w:sz w:val="24"/>
        </w:rPr>
        <w:t>i</w:t>
      </w:r>
      <w:r w:rsidR="000A4D18">
        <w:rPr>
          <w:rFonts w:cs="Arial"/>
          <w:i/>
          <w:sz w:val="24"/>
        </w:rPr>
        <w:t>tal</w:t>
      </w:r>
      <w:r>
        <w:rPr>
          <w:rFonts w:cs="Arial"/>
          <w:i/>
          <w:sz w:val="24"/>
        </w:rPr>
        <w:t xml:space="preserve"> or civil partnership status / dependants or caring responsibilities).</w:t>
      </w:r>
    </w:p>
    <w:sectPr w:rsidR="008B5FC8" w:rsidSect="00302365">
      <w:footerReference w:type="even" r:id="rId8"/>
      <w:headerReference w:type="first" r:id="rId9"/>
      <w:pgSz w:w="11907" w:h="16840" w:code="9"/>
      <w:pgMar w:top="1440" w:right="1440" w:bottom="1440" w:left="1440"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2164D" w14:textId="77777777" w:rsidR="0070377D" w:rsidRDefault="0070377D">
      <w:r>
        <w:separator/>
      </w:r>
    </w:p>
  </w:endnote>
  <w:endnote w:type="continuationSeparator" w:id="0">
    <w:p w14:paraId="3839FB03" w14:textId="77777777" w:rsidR="0070377D" w:rsidRDefault="0070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default"/>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EC55" w14:textId="77777777" w:rsidR="00C809B3" w:rsidRDefault="00C54E02">
    <w:pPr>
      <w:pStyle w:val="Footer"/>
      <w:framePr w:wrap="around" w:vAnchor="text" w:hAnchor="margin" w:xAlign="center" w:y="1"/>
      <w:rPr>
        <w:rStyle w:val="PageNumber"/>
      </w:rPr>
    </w:pPr>
    <w:r>
      <w:rPr>
        <w:rStyle w:val="PageNumber"/>
      </w:rPr>
      <w:fldChar w:fldCharType="begin"/>
    </w:r>
    <w:r w:rsidR="00C809B3">
      <w:rPr>
        <w:rStyle w:val="PageNumber"/>
      </w:rPr>
      <w:instrText xml:space="preserve">PAGE  </w:instrText>
    </w:r>
    <w:r>
      <w:rPr>
        <w:rStyle w:val="PageNumber"/>
      </w:rPr>
      <w:fldChar w:fldCharType="end"/>
    </w:r>
  </w:p>
  <w:p w14:paraId="7A983EC9" w14:textId="77777777" w:rsidR="00C809B3" w:rsidRDefault="00C80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F33D5" w14:textId="77777777" w:rsidR="0070377D" w:rsidRDefault="0070377D">
      <w:r>
        <w:separator/>
      </w:r>
    </w:p>
  </w:footnote>
  <w:footnote w:type="continuationSeparator" w:id="0">
    <w:p w14:paraId="358638E0" w14:textId="77777777" w:rsidR="0070377D" w:rsidRDefault="0070377D">
      <w:r>
        <w:continuationSeparator/>
      </w:r>
    </w:p>
  </w:footnote>
  <w:footnote w:id="1">
    <w:p w14:paraId="0FD816C4" w14:textId="77777777" w:rsidR="00E43340" w:rsidRDefault="00E43340">
      <w:pPr>
        <w:pStyle w:val="FootnoteText"/>
      </w:pPr>
      <w:r>
        <w:rPr>
          <w:rStyle w:val="FootnoteReference"/>
        </w:rPr>
        <w:footnoteRef/>
      </w:r>
      <w:r>
        <w:t xml:space="preserve"> </w:t>
      </w:r>
      <w:r>
        <w:rPr>
          <w:rFonts w:cs="Arial"/>
        </w:rPr>
        <w:t>Note (</w:t>
      </w:r>
      <w:r w:rsidRPr="00A34946">
        <w:rPr>
          <w:rFonts w:cs="Arial"/>
        </w:rPr>
        <w:t xml:space="preserve">not </w:t>
      </w:r>
      <w:r>
        <w:rPr>
          <w:rFonts w:cs="Arial"/>
        </w:rPr>
        <w:t xml:space="preserve">for inclusion in the policy) – the Equality Commission has published a choice of two separate model procedures. One is a general one that may be used for all grievances, and the other is a separate one for harassment and bullying complaints  – see </w:t>
      </w:r>
      <w:hyperlink r:id="rId1" w:history="1">
        <w:r w:rsidRPr="001D3262">
          <w:rPr>
            <w:rStyle w:val="Hyperlink"/>
            <w:rFonts w:cs="Arial"/>
          </w:rPr>
          <w:t>www.equalityni.org/modelpolicies</w:t>
        </w:r>
      </w:hyperlink>
    </w:p>
  </w:footnote>
  <w:footnote w:id="2">
    <w:p w14:paraId="2F62C79A" w14:textId="47E8F377" w:rsidR="00071FFC" w:rsidRDefault="00071FFC" w:rsidP="00071FFC">
      <w:pPr>
        <w:pStyle w:val="FootnoteText"/>
      </w:pPr>
      <w:r>
        <w:rPr>
          <w:rStyle w:val="FootnoteReference"/>
        </w:rPr>
        <w:footnoteRef/>
      </w:r>
      <w:r>
        <w:t xml:space="preserve"> This paragraph may be deleted by those employers who are not registered, and who are not obliged to be registered, with the Equality Commission (i.e. employers who do not employ 11 or more employees (counting only those who work for 16 or more hours per week)).</w:t>
      </w:r>
    </w:p>
  </w:footnote>
  <w:footnote w:id="3">
    <w:p w14:paraId="4353628B" w14:textId="77777777" w:rsidR="00071FFC" w:rsidRDefault="00071FFC" w:rsidP="00071FFC">
      <w:pPr>
        <w:pStyle w:val="FootnoteText"/>
      </w:pPr>
      <w:r>
        <w:rPr>
          <w:rStyle w:val="FootnoteReference"/>
        </w:rPr>
        <w:footnoteRef/>
      </w:r>
      <w:r>
        <w:t xml:space="preserve"> It is good practice to monitor on the other equality grounds, as well as periodically reviewing employment policies, including this one. Furthermore, public sector employers who are designated for the purposes of s</w:t>
      </w:r>
      <w:r w:rsidRPr="00222A3E">
        <w:rPr>
          <w:i/>
        </w:rPr>
        <w:t>ection 75 of the Northern Ireland Act 1998</w:t>
      </w:r>
      <w:r>
        <w:t xml:space="preserve"> have additional obligations in relation to this deriving from their equality schemes and they should reflect that it this part of their own equal opportunities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FC71" w14:textId="28DFDA44" w:rsidR="00E60C7C" w:rsidRDefault="00E850A3">
    <w:pPr>
      <w:pStyle w:val="Header"/>
    </w:pPr>
    <w:r>
      <w:rPr>
        <w:rFonts w:cs="Arial"/>
        <w:b/>
        <w:noProof/>
        <w:color w:val="800000"/>
        <w:sz w:val="24"/>
        <w:lang w:eastAsia="en-GB"/>
      </w:rPr>
      <w:drawing>
        <wp:inline distT="0" distB="0" distL="0" distR="0" wp14:anchorId="7B008ECA" wp14:editId="2CCB4042">
          <wp:extent cx="5732145" cy="1325078"/>
          <wp:effectExtent l="0" t="0" r="1905" b="8890"/>
          <wp:docPr id="4" name="Picture 2" descr="Equal Opportunities Policy template for businesses" title="Equal Opportunities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ies Policy for business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325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A53"/>
    <w:multiLevelType w:val="hybridMultilevel"/>
    <w:tmpl w:val="A6D861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A4152"/>
    <w:multiLevelType w:val="hybridMultilevel"/>
    <w:tmpl w:val="22CC5060"/>
    <w:lvl w:ilvl="0" w:tplc="4D308D3E">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EB7190"/>
    <w:multiLevelType w:val="hybridMultilevel"/>
    <w:tmpl w:val="E8127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D2EC7"/>
    <w:multiLevelType w:val="hybridMultilevel"/>
    <w:tmpl w:val="AA4A4AC6"/>
    <w:lvl w:ilvl="0" w:tplc="F9A275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E2BC6"/>
    <w:multiLevelType w:val="hybridMultilevel"/>
    <w:tmpl w:val="217253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46131"/>
    <w:multiLevelType w:val="hybridMultilevel"/>
    <w:tmpl w:val="C74AF76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5E2778"/>
    <w:multiLevelType w:val="hybridMultilevel"/>
    <w:tmpl w:val="AC2E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04733"/>
    <w:multiLevelType w:val="hybridMultilevel"/>
    <w:tmpl w:val="0C9051E4"/>
    <w:lvl w:ilvl="0" w:tplc="1E0E6CB6">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1F1F56"/>
    <w:multiLevelType w:val="hybridMultilevel"/>
    <w:tmpl w:val="A2A881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4657C"/>
    <w:multiLevelType w:val="hybridMultilevel"/>
    <w:tmpl w:val="F4D40FAE"/>
    <w:lvl w:ilvl="0" w:tplc="FB50CFDE">
      <w:start w:val="1"/>
      <w:numFmt w:val="bullet"/>
      <w:lvlText w:val=""/>
      <w:lvlJc w:val="left"/>
      <w:pPr>
        <w:tabs>
          <w:tab w:val="num" w:pos="720"/>
        </w:tabs>
        <w:ind w:left="720" w:hanging="360"/>
      </w:pPr>
      <w:rPr>
        <w:rFonts w:ascii="Symbol" w:hAnsi="Symbol" w:hint="default"/>
        <w:color w:val="8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A609C"/>
    <w:multiLevelType w:val="hybridMultilevel"/>
    <w:tmpl w:val="B582DED0"/>
    <w:lvl w:ilvl="0" w:tplc="1E24B6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46C67"/>
    <w:multiLevelType w:val="hybridMultilevel"/>
    <w:tmpl w:val="91CCD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D503B"/>
    <w:multiLevelType w:val="hybridMultilevel"/>
    <w:tmpl w:val="9B64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83E7D"/>
    <w:multiLevelType w:val="hybridMultilevel"/>
    <w:tmpl w:val="A3346C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861DEE"/>
    <w:multiLevelType w:val="hybridMultilevel"/>
    <w:tmpl w:val="65527DA0"/>
    <w:lvl w:ilvl="0" w:tplc="2120264A">
      <w:start w:val="1"/>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FB2175B"/>
    <w:multiLevelType w:val="hybridMultilevel"/>
    <w:tmpl w:val="4B10F8B6"/>
    <w:lvl w:ilvl="0" w:tplc="22DA7E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3872A9"/>
    <w:multiLevelType w:val="hybridMultilevel"/>
    <w:tmpl w:val="1CDC64DA"/>
    <w:lvl w:ilvl="0" w:tplc="085E3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B972ED"/>
    <w:multiLevelType w:val="hybridMultilevel"/>
    <w:tmpl w:val="7C96FC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40B50FB"/>
    <w:multiLevelType w:val="hybridMultilevel"/>
    <w:tmpl w:val="D736BBBE"/>
    <w:lvl w:ilvl="0" w:tplc="9978F7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B5579F"/>
    <w:multiLevelType w:val="hybridMultilevel"/>
    <w:tmpl w:val="8A4E6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D26E78"/>
    <w:multiLevelType w:val="hybridMultilevel"/>
    <w:tmpl w:val="F356F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44805"/>
    <w:multiLevelType w:val="hybridMultilevel"/>
    <w:tmpl w:val="4ADAD9B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6624F58"/>
    <w:multiLevelType w:val="hybridMultilevel"/>
    <w:tmpl w:val="C1A21B7E"/>
    <w:lvl w:ilvl="0" w:tplc="636C909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586B25"/>
    <w:multiLevelType w:val="hybridMultilevel"/>
    <w:tmpl w:val="01CEA032"/>
    <w:lvl w:ilvl="0" w:tplc="0FF0A8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761CCF"/>
    <w:multiLevelType w:val="hybridMultilevel"/>
    <w:tmpl w:val="5D169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4"/>
  </w:num>
  <w:num w:numId="4">
    <w:abstractNumId w:val="23"/>
  </w:num>
  <w:num w:numId="5">
    <w:abstractNumId w:val="7"/>
  </w:num>
  <w:num w:numId="6">
    <w:abstractNumId w:val="1"/>
  </w:num>
  <w:num w:numId="7">
    <w:abstractNumId w:val="2"/>
  </w:num>
  <w:num w:numId="8">
    <w:abstractNumId w:val="11"/>
  </w:num>
  <w:num w:numId="9">
    <w:abstractNumId w:val="13"/>
  </w:num>
  <w:num w:numId="10">
    <w:abstractNumId w:val="16"/>
  </w:num>
  <w:num w:numId="11">
    <w:abstractNumId w:val="15"/>
  </w:num>
  <w:num w:numId="12">
    <w:abstractNumId w:val="3"/>
  </w:num>
  <w:num w:numId="13">
    <w:abstractNumId w:val="19"/>
  </w:num>
  <w:num w:numId="14">
    <w:abstractNumId w:val="9"/>
  </w:num>
  <w:num w:numId="15">
    <w:abstractNumId w:val="20"/>
  </w:num>
  <w:num w:numId="16">
    <w:abstractNumId w:val="8"/>
  </w:num>
  <w:num w:numId="17">
    <w:abstractNumId w:val="0"/>
  </w:num>
  <w:num w:numId="18">
    <w:abstractNumId w:val="5"/>
  </w:num>
  <w:num w:numId="19">
    <w:abstractNumId w:val="21"/>
  </w:num>
  <w:num w:numId="20">
    <w:abstractNumId w:val="10"/>
  </w:num>
  <w:num w:numId="21">
    <w:abstractNumId w:val="4"/>
  </w:num>
  <w:num w:numId="22">
    <w:abstractNumId w:val="22"/>
  </w:num>
  <w:num w:numId="23">
    <w:abstractNumId w:val="24"/>
  </w:num>
  <w:num w:numId="24">
    <w:abstractNumId w:val="12"/>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5taoN+01g0k72t0d5YYaPNpcypd8/OofUthFdtanz8wNHg47tLwvMFVSRJH+/4U3"/>
  </w:docVars>
  <w:rsids>
    <w:rsidRoot w:val="00A06302"/>
    <w:rsid w:val="00000ACF"/>
    <w:rsid w:val="00000AF0"/>
    <w:rsid w:val="00010CA4"/>
    <w:rsid w:val="00013534"/>
    <w:rsid w:val="000153C5"/>
    <w:rsid w:val="0002031F"/>
    <w:rsid w:val="00024929"/>
    <w:rsid w:val="000347BD"/>
    <w:rsid w:val="00034864"/>
    <w:rsid w:val="00035F64"/>
    <w:rsid w:val="000362EB"/>
    <w:rsid w:val="00037EFB"/>
    <w:rsid w:val="00044E21"/>
    <w:rsid w:val="0004589F"/>
    <w:rsid w:val="0005198A"/>
    <w:rsid w:val="00071FFC"/>
    <w:rsid w:val="000A4D18"/>
    <w:rsid w:val="000A6E64"/>
    <w:rsid w:val="000B3A4F"/>
    <w:rsid w:val="000B739B"/>
    <w:rsid w:val="000B796A"/>
    <w:rsid w:val="000C3DD6"/>
    <w:rsid w:val="000C4741"/>
    <w:rsid w:val="000C7FC5"/>
    <w:rsid w:val="000D27FE"/>
    <w:rsid w:val="000D3F4F"/>
    <w:rsid w:val="000D49C3"/>
    <w:rsid w:val="000D610E"/>
    <w:rsid w:val="000F2245"/>
    <w:rsid w:val="00107827"/>
    <w:rsid w:val="001258E9"/>
    <w:rsid w:val="001269EC"/>
    <w:rsid w:val="00141E43"/>
    <w:rsid w:val="00143CC1"/>
    <w:rsid w:val="00146643"/>
    <w:rsid w:val="00146AE5"/>
    <w:rsid w:val="00153147"/>
    <w:rsid w:val="00157887"/>
    <w:rsid w:val="00167077"/>
    <w:rsid w:val="00171A1C"/>
    <w:rsid w:val="00172277"/>
    <w:rsid w:val="00173262"/>
    <w:rsid w:val="00191CB1"/>
    <w:rsid w:val="00193566"/>
    <w:rsid w:val="001A0458"/>
    <w:rsid w:val="001A5294"/>
    <w:rsid w:val="001A61B8"/>
    <w:rsid w:val="001A768C"/>
    <w:rsid w:val="001B2D63"/>
    <w:rsid w:val="001C1DD1"/>
    <w:rsid w:val="001D508C"/>
    <w:rsid w:val="001D706C"/>
    <w:rsid w:val="001D7B51"/>
    <w:rsid w:val="001E0012"/>
    <w:rsid w:val="001E0D8E"/>
    <w:rsid w:val="001E12E1"/>
    <w:rsid w:val="001E460C"/>
    <w:rsid w:val="001E7A5E"/>
    <w:rsid w:val="001F0292"/>
    <w:rsid w:val="001F6C7A"/>
    <w:rsid w:val="00205A85"/>
    <w:rsid w:val="00222A3E"/>
    <w:rsid w:val="00227511"/>
    <w:rsid w:val="0023498C"/>
    <w:rsid w:val="0024305A"/>
    <w:rsid w:val="00245332"/>
    <w:rsid w:val="0024670E"/>
    <w:rsid w:val="00251A3A"/>
    <w:rsid w:val="00274C7A"/>
    <w:rsid w:val="00275DCC"/>
    <w:rsid w:val="00280A2F"/>
    <w:rsid w:val="00285625"/>
    <w:rsid w:val="002939E0"/>
    <w:rsid w:val="0029488F"/>
    <w:rsid w:val="00296C6E"/>
    <w:rsid w:val="002A019F"/>
    <w:rsid w:val="002A5997"/>
    <w:rsid w:val="002C1FA3"/>
    <w:rsid w:val="002D650C"/>
    <w:rsid w:val="002E362A"/>
    <w:rsid w:val="002F350B"/>
    <w:rsid w:val="002F5958"/>
    <w:rsid w:val="002F7068"/>
    <w:rsid w:val="003000EF"/>
    <w:rsid w:val="00300E22"/>
    <w:rsid w:val="00301167"/>
    <w:rsid w:val="00302365"/>
    <w:rsid w:val="0030281A"/>
    <w:rsid w:val="00303A9D"/>
    <w:rsid w:val="003045BD"/>
    <w:rsid w:val="003079EF"/>
    <w:rsid w:val="00312CAC"/>
    <w:rsid w:val="00316BFB"/>
    <w:rsid w:val="00317E1F"/>
    <w:rsid w:val="00321465"/>
    <w:rsid w:val="003337F6"/>
    <w:rsid w:val="003403C2"/>
    <w:rsid w:val="00370517"/>
    <w:rsid w:val="00374592"/>
    <w:rsid w:val="00377F8F"/>
    <w:rsid w:val="003807CC"/>
    <w:rsid w:val="00382D8D"/>
    <w:rsid w:val="003844F0"/>
    <w:rsid w:val="003A2804"/>
    <w:rsid w:val="003A79B1"/>
    <w:rsid w:val="003B10BD"/>
    <w:rsid w:val="003B3760"/>
    <w:rsid w:val="003B4835"/>
    <w:rsid w:val="003B697F"/>
    <w:rsid w:val="003E16E7"/>
    <w:rsid w:val="003E6A73"/>
    <w:rsid w:val="003E70E8"/>
    <w:rsid w:val="003F26FA"/>
    <w:rsid w:val="00402ED0"/>
    <w:rsid w:val="004057C6"/>
    <w:rsid w:val="004142AB"/>
    <w:rsid w:val="0041461C"/>
    <w:rsid w:val="00420C5E"/>
    <w:rsid w:val="0042178C"/>
    <w:rsid w:val="00424428"/>
    <w:rsid w:val="004346C3"/>
    <w:rsid w:val="004373BE"/>
    <w:rsid w:val="00441812"/>
    <w:rsid w:val="00441907"/>
    <w:rsid w:val="00446A27"/>
    <w:rsid w:val="0044754C"/>
    <w:rsid w:val="00447698"/>
    <w:rsid w:val="0045676B"/>
    <w:rsid w:val="00461C48"/>
    <w:rsid w:val="00464A1A"/>
    <w:rsid w:val="004700ED"/>
    <w:rsid w:val="00474F34"/>
    <w:rsid w:val="00475488"/>
    <w:rsid w:val="004A4F87"/>
    <w:rsid w:val="004B185F"/>
    <w:rsid w:val="004B32C6"/>
    <w:rsid w:val="004C01E1"/>
    <w:rsid w:val="004C2FF8"/>
    <w:rsid w:val="004C32A0"/>
    <w:rsid w:val="004E0473"/>
    <w:rsid w:val="004E2128"/>
    <w:rsid w:val="004E24AA"/>
    <w:rsid w:val="004E3408"/>
    <w:rsid w:val="004E7879"/>
    <w:rsid w:val="004F2FCD"/>
    <w:rsid w:val="004F6F15"/>
    <w:rsid w:val="004F7B0F"/>
    <w:rsid w:val="005062A0"/>
    <w:rsid w:val="005334CE"/>
    <w:rsid w:val="00537F29"/>
    <w:rsid w:val="00544F0C"/>
    <w:rsid w:val="00553C6E"/>
    <w:rsid w:val="00554C9D"/>
    <w:rsid w:val="0055721D"/>
    <w:rsid w:val="0057084A"/>
    <w:rsid w:val="00581AED"/>
    <w:rsid w:val="00582F20"/>
    <w:rsid w:val="00585F26"/>
    <w:rsid w:val="00587C56"/>
    <w:rsid w:val="005905BE"/>
    <w:rsid w:val="00592C85"/>
    <w:rsid w:val="005B18EF"/>
    <w:rsid w:val="005B2F45"/>
    <w:rsid w:val="005C14FA"/>
    <w:rsid w:val="005D1F55"/>
    <w:rsid w:val="005D53B8"/>
    <w:rsid w:val="005E1244"/>
    <w:rsid w:val="005E7DE9"/>
    <w:rsid w:val="005F2588"/>
    <w:rsid w:val="005F3B26"/>
    <w:rsid w:val="0060199D"/>
    <w:rsid w:val="00605C1F"/>
    <w:rsid w:val="006078A8"/>
    <w:rsid w:val="00610256"/>
    <w:rsid w:val="00612F76"/>
    <w:rsid w:val="00613325"/>
    <w:rsid w:val="0062069D"/>
    <w:rsid w:val="006212FD"/>
    <w:rsid w:val="0062319F"/>
    <w:rsid w:val="0062445B"/>
    <w:rsid w:val="00624EB5"/>
    <w:rsid w:val="0063052A"/>
    <w:rsid w:val="00630852"/>
    <w:rsid w:val="00630D9A"/>
    <w:rsid w:val="00631106"/>
    <w:rsid w:val="00634654"/>
    <w:rsid w:val="00644CB6"/>
    <w:rsid w:val="0066243A"/>
    <w:rsid w:val="006625A1"/>
    <w:rsid w:val="006651F9"/>
    <w:rsid w:val="00676809"/>
    <w:rsid w:val="00697A20"/>
    <w:rsid w:val="00697F46"/>
    <w:rsid w:val="006A0B0E"/>
    <w:rsid w:val="006A1B5B"/>
    <w:rsid w:val="006A27B1"/>
    <w:rsid w:val="006A5638"/>
    <w:rsid w:val="006A7455"/>
    <w:rsid w:val="006B125B"/>
    <w:rsid w:val="006B7E7B"/>
    <w:rsid w:val="006D054B"/>
    <w:rsid w:val="006E1763"/>
    <w:rsid w:val="006E26EC"/>
    <w:rsid w:val="006E3073"/>
    <w:rsid w:val="006E505C"/>
    <w:rsid w:val="006E5256"/>
    <w:rsid w:val="006E6191"/>
    <w:rsid w:val="006F0ACB"/>
    <w:rsid w:val="006F3AD9"/>
    <w:rsid w:val="006F5997"/>
    <w:rsid w:val="007028A5"/>
    <w:rsid w:val="0070377D"/>
    <w:rsid w:val="00705F1C"/>
    <w:rsid w:val="00716F06"/>
    <w:rsid w:val="00726321"/>
    <w:rsid w:val="00760365"/>
    <w:rsid w:val="007636B8"/>
    <w:rsid w:val="00763821"/>
    <w:rsid w:val="00763840"/>
    <w:rsid w:val="0077146F"/>
    <w:rsid w:val="00774C4A"/>
    <w:rsid w:val="00782497"/>
    <w:rsid w:val="007874E2"/>
    <w:rsid w:val="0079196F"/>
    <w:rsid w:val="0079458A"/>
    <w:rsid w:val="00795D2A"/>
    <w:rsid w:val="007963FE"/>
    <w:rsid w:val="007A2060"/>
    <w:rsid w:val="007A5892"/>
    <w:rsid w:val="007B1432"/>
    <w:rsid w:val="007B448D"/>
    <w:rsid w:val="007C04C7"/>
    <w:rsid w:val="007C488C"/>
    <w:rsid w:val="007C777F"/>
    <w:rsid w:val="007D52DF"/>
    <w:rsid w:val="007E04F7"/>
    <w:rsid w:val="007E0DF0"/>
    <w:rsid w:val="007E2471"/>
    <w:rsid w:val="007F155C"/>
    <w:rsid w:val="007F3AFF"/>
    <w:rsid w:val="007F74AD"/>
    <w:rsid w:val="007F7A8C"/>
    <w:rsid w:val="00802762"/>
    <w:rsid w:val="008045A9"/>
    <w:rsid w:val="00804758"/>
    <w:rsid w:val="008068C5"/>
    <w:rsid w:val="00807A38"/>
    <w:rsid w:val="00815F17"/>
    <w:rsid w:val="00827B47"/>
    <w:rsid w:val="00833C15"/>
    <w:rsid w:val="00834ABD"/>
    <w:rsid w:val="00836123"/>
    <w:rsid w:val="00842615"/>
    <w:rsid w:val="00845FFC"/>
    <w:rsid w:val="00846747"/>
    <w:rsid w:val="00850D5F"/>
    <w:rsid w:val="00855622"/>
    <w:rsid w:val="00861556"/>
    <w:rsid w:val="00864E3F"/>
    <w:rsid w:val="00867F6C"/>
    <w:rsid w:val="0088469F"/>
    <w:rsid w:val="00892874"/>
    <w:rsid w:val="008A0B99"/>
    <w:rsid w:val="008A3E13"/>
    <w:rsid w:val="008A4F75"/>
    <w:rsid w:val="008A54C0"/>
    <w:rsid w:val="008B5FC8"/>
    <w:rsid w:val="008C0188"/>
    <w:rsid w:val="008D497A"/>
    <w:rsid w:val="008E54ED"/>
    <w:rsid w:val="008E5CD8"/>
    <w:rsid w:val="008E6E4D"/>
    <w:rsid w:val="008F1434"/>
    <w:rsid w:val="008F61C0"/>
    <w:rsid w:val="008F639D"/>
    <w:rsid w:val="00900A7D"/>
    <w:rsid w:val="00906818"/>
    <w:rsid w:val="0091356B"/>
    <w:rsid w:val="00913DC3"/>
    <w:rsid w:val="0091537B"/>
    <w:rsid w:val="00930379"/>
    <w:rsid w:val="0093075A"/>
    <w:rsid w:val="00941027"/>
    <w:rsid w:val="009433BC"/>
    <w:rsid w:val="0094465C"/>
    <w:rsid w:val="0094783C"/>
    <w:rsid w:val="00950CD9"/>
    <w:rsid w:val="009572A2"/>
    <w:rsid w:val="009656B8"/>
    <w:rsid w:val="00967910"/>
    <w:rsid w:val="0097203E"/>
    <w:rsid w:val="00975DF5"/>
    <w:rsid w:val="0098164E"/>
    <w:rsid w:val="00982346"/>
    <w:rsid w:val="0098449E"/>
    <w:rsid w:val="00990CF4"/>
    <w:rsid w:val="009A191B"/>
    <w:rsid w:val="009B00D3"/>
    <w:rsid w:val="009C0B7B"/>
    <w:rsid w:val="009C0F94"/>
    <w:rsid w:val="009C190D"/>
    <w:rsid w:val="009C2906"/>
    <w:rsid w:val="009C3165"/>
    <w:rsid w:val="009D18B9"/>
    <w:rsid w:val="009D1EDE"/>
    <w:rsid w:val="009D40ED"/>
    <w:rsid w:val="009E08FF"/>
    <w:rsid w:val="009E3F96"/>
    <w:rsid w:val="009E51EE"/>
    <w:rsid w:val="00A00B88"/>
    <w:rsid w:val="00A020F9"/>
    <w:rsid w:val="00A0210A"/>
    <w:rsid w:val="00A027D6"/>
    <w:rsid w:val="00A032B1"/>
    <w:rsid w:val="00A06302"/>
    <w:rsid w:val="00A12B01"/>
    <w:rsid w:val="00A17AC2"/>
    <w:rsid w:val="00A2354D"/>
    <w:rsid w:val="00A276EF"/>
    <w:rsid w:val="00A3433F"/>
    <w:rsid w:val="00A423BD"/>
    <w:rsid w:val="00A5016E"/>
    <w:rsid w:val="00A502AC"/>
    <w:rsid w:val="00A5043F"/>
    <w:rsid w:val="00A516CF"/>
    <w:rsid w:val="00A530DB"/>
    <w:rsid w:val="00A5417D"/>
    <w:rsid w:val="00A55F0E"/>
    <w:rsid w:val="00A62A10"/>
    <w:rsid w:val="00A73AA7"/>
    <w:rsid w:val="00A7684B"/>
    <w:rsid w:val="00A81860"/>
    <w:rsid w:val="00A90872"/>
    <w:rsid w:val="00A962BC"/>
    <w:rsid w:val="00AA2863"/>
    <w:rsid w:val="00AA59E5"/>
    <w:rsid w:val="00AA7912"/>
    <w:rsid w:val="00AB1A09"/>
    <w:rsid w:val="00AC5468"/>
    <w:rsid w:val="00AD1CFD"/>
    <w:rsid w:val="00AE0AF0"/>
    <w:rsid w:val="00B009FD"/>
    <w:rsid w:val="00B031A2"/>
    <w:rsid w:val="00B0403B"/>
    <w:rsid w:val="00B04342"/>
    <w:rsid w:val="00B06440"/>
    <w:rsid w:val="00B06796"/>
    <w:rsid w:val="00B12102"/>
    <w:rsid w:val="00B12D04"/>
    <w:rsid w:val="00B13D70"/>
    <w:rsid w:val="00B15F81"/>
    <w:rsid w:val="00B24CC7"/>
    <w:rsid w:val="00B24ED5"/>
    <w:rsid w:val="00B3076E"/>
    <w:rsid w:val="00B43AD0"/>
    <w:rsid w:val="00B44CD8"/>
    <w:rsid w:val="00B5139E"/>
    <w:rsid w:val="00B563F7"/>
    <w:rsid w:val="00B62BBD"/>
    <w:rsid w:val="00B63959"/>
    <w:rsid w:val="00B71324"/>
    <w:rsid w:val="00B74A75"/>
    <w:rsid w:val="00B74E49"/>
    <w:rsid w:val="00B75F5A"/>
    <w:rsid w:val="00B833CF"/>
    <w:rsid w:val="00B87C0F"/>
    <w:rsid w:val="00B90A70"/>
    <w:rsid w:val="00BB28CE"/>
    <w:rsid w:val="00BB650A"/>
    <w:rsid w:val="00BC63DF"/>
    <w:rsid w:val="00BD01D1"/>
    <w:rsid w:val="00BD569D"/>
    <w:rsid w:val="00BE009E"/>
    <w:rsid w:val="00BF7458"/>
    <w:rsid w:val="00C004C3"/>
    <w:rsid w:val="00C01192"/>
    <w:rsid w:val="00C0147A"/>
    <w:rsid w:val="00C11264"/>
    <w:rsid w:val="00C14F86"/>
    <w:rsid w:val="00C45489"/>
    <w:rsid w:val="00C46423"/>
    <w:rsid w:val="00C51DF1"/>
    <w:rsid w:val="00C54E02"/>
    <w:rsid w:val="00C602AE"/>
    <w:rsid w:val="00C61478"/>
    <w:rsid w:val="00C61EB7"/>
    <w:rsid w:val="00C638F0"/>
    <w:rsid w:val="00C7154C"/>
    <w:rsid w:val="00C727A7"/>
    <w:rsid w:val="00C809B3"/>
    <w:rsid w:val="00C816F9"/>
    <w:rsid w:val="00C85CDD"/>
    <w:rsid w:val="00C90C18"/>
    <w:rsid w:val="00CA6D38"/>
    <w:rsid w:val="00CB796A"/>
    <w:rsid w:val="00CC08CE"/>
    <w:rsid w:val="00CD0DB5"/>
    <w:rsid w:val="00CD1836"/>
    <w:rsid w:val="00CD19E6"/>
    <w:rsid w:val="00CD3A00"/>
    <w:rsid w:val="00CD696E"/>
    <w:rsid w:val="00CF1EC4"/>
    <w:rsid w:val="00CF7422"/>
    <w:rsid w:val="00D02C19"/>
    <w:rsid w:val="00D07410"/>
    <w:rsid w:val="00D10C59"/>
    <w:rsid w:val="00D1297F"/>
    <w:rsid w:val="00D1406D"/>
    <w:rsid w:val="00D20C6A"/>
    <w:rsid w:val="00D2201E"/>
    <w:rsid w:val="00D262CE"/>
    <w:rsid w:val="00D27F19"/>
    <w:rsid w:val="00D30364"/>
    <w:rsid w:val="00D379D3"/>
    <w:rsid w:val="00D40893"/>
    <w:rsid w:val="00D434A3"/>
    <w:rsid w:val="00D45868"/>
    <w:rsid w:val="00D52920"/>
    <w:rsid w:val="00D52D56"/>
    <w:rsid w:val="00D64B68"/>
    <w:rsid w:val="00D664FC"/>
    <w:rsid w:val="00D70E11"/>
    <w:rsid w:val="00D744D4"/>
    <w:rsid w:val="00D74DAE"/>
    <w:rsid w:val="00D83881"/>
    <w:rsid w:val="00D94DAE"/>
    <w:rsid w:val="00D96597"/>
    <w:rsid w:val="00D97257"/>
    <w:rsid w:val="00DA422D"/>
    <w:rsid w:val="00DA4843"/>
    <w:rsid w:val="00DA6346"/>
    <w:rsid w:val="00DA68EE"/>
    <w:rsid w:val="00DB18C0"/>
    <w:rsid w:val="00DB48C7"/>
    <w:rsid w:val="00DC3DC6"/>
    <w:rsid w:val="00DD3DFC"/>
    <w:rsid w:val="00DD59F7"/>
    <w:rsid w:val="00DE320A"/>
    <w:rsid w:val="00DE61D5"/>
    <w:rsid w:val="00DF325E"/>
    <w:rsid w:val="00E04EB7"/>
    <w:rsid w:val="00E0772A"/>
    <w:rsid w:val="00E0795C"/>
    <w:rsid w:val="00E1167E"/>
    <w:rsid w:val="00E154E0"/>
    <w:rsid w:val="00E22326"/>
    <w:rsid w:val="00E24833"/>
    <w:rsid w:val="00E3547F"/>
    <w:rsid w:val="00E370C8"/>
    <w:rsid w:val="00E43340"/>
    <w:rsid w:val="00E45818"/>
    <w:rsid w:val="00E46770"/>
    <w:rsid w:val="00E52227"/>
    <w:rsid w:val="00E532A7"/>
    <w:rsid w:val="00E60C7C"/>
    <w:rsid w:val="00E62C86"/>
    <w:rsid w:val="00E77B38"/>
    <w:rsid w:val="00E8142A"/>
    <w:rsid w:val="00E850A3"/>
    <w:rsid w:val="00E8517C"/>
    <w:rsid w:val="00EB51D2"/>
    <w:rsid w:val="00EB65EB"/>
    <w:rsid w:val="00EC181F"/>
    <w:rsid w:val="00EC1C20"/>
    <w:rsid w:val="00ED39C0"/>
    <w:rsid w:val="00ED7ED7"/>
    <w:rsid w:val="00EE1311"/>
    <w:rsid w:val="00EE43BF"/>
    <w:rsid w:val="00F1607E"/>
    <w:rsid w:val="00F17256"/>
    <w:rsid w:val="00F212F0"/>
    <w:rsid w:val="00F230D4"/>
    <w:rsid w:val="00F263C1"/>
    <w:rsid w:val="00F34FBF"/>
    <w:rsid w:val="00F353F3"/>
    <w:rsid w:val="00F35A60"/>
    <w:rsid w:val="00F513BE"/>
    <w:rsid w:val="00F53C50"/>
    <w:rsid w:val="00F57D1D"/>
    <w:rsid w:val="00F621EA"/>
    <w:rsid w:val="00F71B13"/>
    <w:rsid w:val="00F7285A"/>
    <w:rsid w:val="00F7481B"/>
    <w:rsid w:val="00F8049F"/>
    <w:rsid w:val="00F92DDA"/>
    <w:rsid w:val="00F931E4"/>
    <w:rsid w:val="00F93639"/>
    <w:rsid w:val="00F93973"/>
    <w:rsid w:val="00F96FDF"/>
    <w:rsid w:val="00FA073C"/>
    <w:rsid w:val="00FA3BB8"/>
    <w:rsid w:val="00FB2630"/>
    <w:rsid w:val="00FB272C"/>
    <w:rsid w:val="00FB4F3D"/>
    <w:rsid w:val="00FB633A"/>
    <w:rsid w:val="00FB6789"/>
    <w:rsid w:val="00FC0277"/>
    <w:rsid w:val="00FC0D98"/>
    <w:rsid w:val="00FD1B89"/>
    <w:rsid w:val="00FD6600"/>
    <w:rsid w:val="00FD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F0527"/>
  <w15:docId w15:val="{05E57CB9-1472-47D0-AEA2-794513D9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468"/>
    <w:rPr>
      <w:rFonts w:ascii="Arial" w:hAnsi="Arial"/>
      <w:sz w:val="28"/>
      <w:szCs w:val="24"/>
      <w:lang w:val="en-GB"/>
    </w:rPr>
  </w:style>
  <w:style w:type="paragraph" w:styleId="Heading1">
    <w:name w:val="heading 1"/>
    <w:basedOn w:val="Normal"/>
    <w:next w:val="Normal"/>
    <w:qFormat/>
    <w:rsid w:val="00AC5468"/>
    <w:pPr>
      <w:keepNext/>
      <w:outlineLvl w:val="0"/>
    </w:pPr>
    <w:rPr>
      <w:b/>
    </w:rPr>
  </w:style>
  <w:style w:type="paragraph" w:styleId="Heading2">
    <w:name w:val="heading 2"/>
    <w:basedOn w:val="Normal"/>
    <w:next w:val="Normal"/>
    <w:qFormat/>
    <w:rsid w:val="00AC5468"/>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468"/>
    <w:rPr>
      <w:color w:val="0000FF"/>
      <w:u w:val="single"/>
    </w:rPr>
  </w:style>
  <w:style w:type="paragraph" w:styleId="BodyText">
    <w:name w:val="Body Text"/>
    <w:basedOn w:val="Normal"/>
    <w:rsid w:val="00AC5468"/>
    <w:rPr>
      <w:color w:val="FF0000"/>
    </w:rPr>
  </w:style>
  <w:style w:type="paragraph" w:styleId="BodyTextIndent">
    <w:name w:val="Body Text Indent"/>
    <w:basedOn w:val="Normal"/>
    <w:rsid w:val="00AC5468"/>
    <w:pPr>
      <w:ind w:left="360"/>
    </w:pPr>
  </w:style>
  <w:style w:type="paragraph" w:styleId="Footer">
    <w:name w:val="footer"/>
    <w:basedOn w:val="Normal"/>
    <w:rsid w:val="00AC5468"/>
    <w:pPr>
      <w:tabs>
        <w:tab w:val="center" w:pos="4153"/>
        <w:tab w:val="right" w:pos="8306"/>
      </w:tabs>
    </w:pPr>
  </w:style>
  <w:style w:type="character" w:styleId="PageNumber">
    <w:name w:val="page number"/>
    <w:basedOn w:val="DefaultParagraphFont"/>
    <w:rsid w:val="00AC5468"/>
  </w:style>
  <w:style w:type="paragraph" w:styleId="FootnoteText">
    <w:name w:val="footnote text"/>
    <w:basedOn w:val="Normal"/>
    <w:link w:val="FootnoteTextChar"/>
    <w:uiPriority w:val="99"/>
    <w:semiHidden/>
    <w:rsid w:val="00AC5468"/>
    <w:rPr>
      <w:sz w:val="20"/>
      <w:szCs w:val="20"/>
    </w:rPr>
  </w:style>
  <w:style w:type="character" w:styleId="FootnoteReference">
    <w:name w:val="footnote reference"/>
    <w:basedOn w:val="DefaultParagraphFont"/>
    <w:uiPriority w:val="99"/>
    <w:semiHidden/>
    <w:rsid w:val="00AC5468"/>
    <w:rPr>
      <w:vertAlign w:val="superscript"/>
    </w:rPr>
  </w:style>
  <w:style w:type="paragraph" w:styleId="BodyText2">
    <w:name w:val="Body Text 2"/>
    <w:basedOn w:val="Normal"/>
    <w:rsid w:val="00AC5468"/>
    <w:rPr>
      <w:rFonts w:ascii="Arial Bold" w:hAnsi="Arial Bold"/>
      <w:b/>
      <w:color w:val="FF0000"/>
      <w:szCs w:val="28"/>
    </w:rPr>
  </w:style>
  <w:style w:type="paragraph" w:styleId="BodyText3">
    <w:name w:val="Body Text 3"/>
    <w:basedOn w:val="Normal"/>
    <w:rsid w:val="00AC5468"/>
    <w:rPr>
      <w:rFonts w:ascii="Arial Bold" w:hAnsi="Arial Bold"/>
      <w:b/>
    </w:rPr>
  </w:style>
  <w:style w:type="paragraph" w:styleId="BalloonText">
    <w:name w:val="Balloon Text"/>
    <w:basedOn w:val="Normal"/>
    <w:semiHidden/>
    <w:rsid w:val="00DD3DFC"/>
    <w:rPr>
      <w:rFonts w:ascii="Tahoma" w:hAnsi="Tahoma" w:cs="Tahoma"/>
      <w:sz w:val="16"/>
      <w:szCs w:val="16"/>
    </w:rPr>
  </w:style>
  <w:style w:type="paragraph" w:styleId="Header">
    <w:name w:val="header"/>
    <w:basedOn w:val="Normal"/>
    <w:rsid w:val="00171A1C"/>
    <w:pPr>
      <w:tabs>
        <w:tab w:val="center" w:pos="4320"/>
        <w:tab w:val="right" w:pos="8640"/>
      </w:tabs>
    </w:pPr>
  </w:style>
  <w:style w:type="paragraph" w:styleId="ListParagraph">
    <w:name w:val="List Paragraph"/>
    <w:basedOn w:val="Normal"/>
    <w:uiPriority w:val="34"/>
    <w:qFormat/>
    <w:rsid w:val="005F2588"/>
    <w:pPr>
      <w:ind w:left="720"/>
    </w:pPr>
  </w:style>
  <w:style w:type="table" w:styleId="TableGrid">
    <w:name w:val="Table Grid"/>
    <w:basedOn w:val="TableNormal"/>
    <w:uiPriority w:val="59"/>
    <w:rsid w:val="005F2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32C6"/>
    <w:rPr>
      <w:sz w:val="16"/>
      <w:szCs w:val="16"/>
    </w:rPr>
  </w:style>
  <w:style w:type="paragraph" w:styleId="CommentText">
    <w:name w:val="annotation text"/>
    <w:basedOn w:val="Normal"/>
    <w:link w:val="CommentTextChar"/>
    <w:uiPriority w:val="99"/>
    <w:semiHidden/>
    <w:unhideWhenUsed/>
    <w:rsid w:val="004B32C6"/>
    <w:rPr>
      <w:sz w:val="20"/>
      <w:szCs w:val="20"/>
    </w:rPr>
  </w:style>
  <w:style w:type="character" w:customStyle="1" w:styleId="CommentTextChar">
    <w:name w:val="Comment Text Char"/>
    <w:basedOn w:val="DefaultParagraphFont"/>
    <w:link w:val="CommentText"/>
    <w:uiPriority w:val="99"/>
    <w:semiHidden/>
    <w:rsid w:val="004B32C6"/>
    <w:rPr>
      <w:rFonts w:ascii="Arial" w:hAnsi="Arial"/>
      <w:lang w:val="en-GB"/>
    </w:rPr>
  </w:style>
  <w:style w:type="paragraph" w:styleId="CommentSubject">
    <w:name w:val="annotation subject"/>
    <w:basedOn w:val="CommentText"/>
    <w:next w:val="CommentText"/>
    <w:link w:val="CommentSubjectChar"/>
    <w:uiPriority w:val="99"/>
    <w:semiHidden/>
    <w:unhideWhenUsed/>
    <w:rsid w:val="004B32C6"/>
    <w:rPr>
      <w:b/>
      <w:bCs/>
    </w:rPr>
  </w:style>
  <w:style w:type="character" w:customStyle="1" w:styleId="CommentSubjectChar">
    <w:name w:val="Comment Subject Char"/>
    <w:basedOn w:val="CommentTextChar"/>
    <w:link w:val="CommentSubject"/>
    <w:uiPriority w:val="99"/>
    <w:semiHidden/>
    <w:rsid w:val="004B32C6"/>
    <w:rPr>
      <w:rFonts w:ascii="Arial" w:hAnsi="Arial"/>
      <w:b/>
      <w:bCs/>
      <w:lang w:val="en-GB"/>
    </w:rPr>
  </w:style>
  <w:style w:type="paragraph" w:styleId="EndnoteText">
    <w:name w:val="endnote text"/>
    <w:basedOn w:val="Normal"/>
    <w:link w:val="EndnoteTextChar"/>
    <w:uiPriority w:val="99"/>
    <w:semiHidden/>
    <w:unhideWhenUsed/>
    <w:rsid w:val="006A0B0E"/>
    <w:rPr>
      <w:sz w:val="20"/>
      <w:szCs w:val="20"/>
    </w:rPr>
  </w:style>
  <w:style w:type="character" w:customStyle="1" w:styleId="EndnoteTextChar">
    <w:name w:val="Endnote Text Char"/>
    <w:basedOn w:val="DefaultParagraphFont"/>
    <w:link w:val="EndnoteText"/>
    <w:uiPriority w:val="99"/>
    <w:semiHidden/>
    <w:rsid w:val="006A0B0E"/>
    <w:rPr>
      <w:rFonts w:ascii="Arial" w:hAnsi="Arial"/>
      <w:lang w:val="en-GB"/>
    </w:rPr>
  </w:style>
  <w:style w:type="character" w:styleId="EndnoteReference">
    <w:name w:val="endnote reference"/>
    <w:basedOn w:val="DefaultParagraphFont"/>
    <w:uiPriority w:val="99"/>
    <w:semiHidden/>
    <w:unhideWhenUsed/>
    <w:rsid w:val="006A0B0E"/>
    <w:rPr>
      <w:vertAlign w:val="superscript"/>
    </w:rPr>
  </w:style>
  <w:style w:type="character" w:customStyle="1" w:styleId="FootnoteTextChar">
    <w:name w:val="Footnote Text Char"/>
    <w:basedOn w:val="DefaultParagraphFont"/>
    <w:link w:val="FootnoteText"/>
    <w:uiPriority w:val="99"/>
    <w:semiHidden/>
    <w:rsid w:val="00DE320A"/>
    <w:rPr>
      <w:rFonts w:ascii="Arial" w:hAnsi="Arial"/>
      <w:lang w:val="en-GB"/>
    </w:rPr>
  </w:style>
  <w:style w:type="paragraph" w:styleId="Title">
    <w:name w:val="Title"/>
    <w:basedOn w:val="Normal"/>
    <w:next w:val="Normal"/>
    <w:link w:val="TitleChar"/>
    <w:uiPriority w:val="10"/>
    <w:qFormat/>
    <w:rsid w:val="009D1E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EDE"/>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8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model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56CBB-F637-45B3-9FD8-2E1809F9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867</Words>
  <Characters>4832</Characters>
  <Application>Microsoft Office Word</Application>
  <DocSecurity>0</DocSecurity>
  <Lines>138</Lines>
  <Paragraphs>54</Paragraphs>
  <ScaleCrop>false</ScaleCrop>
  <HeadingPairs>
    <vt:vector size="2" baseType="variant">
      <vt:variant>
        <vt:lpstr>Title</vt:lpstr>
      </vt:variant>
      <vt:variant>
        <vt:i4>1</vt:i4>
      </vt:variant>
    </vt:vector>
  </HeadingPairs>
  <TitlesOfParts>
    <vt:vector size="1" baseType="lpstr">
      <vt:lpstr>Model Harassment procedure</vt:lpstr>
    </vt:vector>
  </TitlesOfParts>
  <Company>Equality Commission for Northern Ireland</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Harassment procedure</dc:title>
  <dc:creator>Mary McSorley</dc:creator>
  <cp:lastModifiedBy>Mark Soult</cp:lastModifiedBy>
  <cp:revision>29</cp:revision>
  <cp:lastPrinted>2006-07-07T10:20:00Z</cp:lastPrinted>
  <dcterms:created xsi:type="dcterms:W3CDTF">2021-10-12T13:37:00Z</dcterms:created>
  <dcterms:modified xsi:type="dcterms:W3CDTF">2021-11-02T13:43:00Z</dcterms:modified>
</cp:coreProperties>
</file>