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E084E" w14:textId="77777777" w:rsidR="00DC4EBB" w:rsidRDefault="00DC4EBB" w:rsidP="00DC4EBB">
      <w:pPr>
        <w:jc w:val="center"/>
        <w:rPr>
          <w:rFonts w:cs="Arial"/>
          <w:b/>
          <w:sz w:val="40"/>
          <w:szCs w:val="40"/>
          <w:lang w:val="en-GB"/>
        </w:rPr>
      </w:pPr>
      <w:r>
        <w:rPr>
          <w:rFonts w:cs="Arial"/>
          <w:b/>
          <w:sz w:val="40"/>
          <w:szCs w:val="40"/>
          <w:lang w:val="en-GB"/>
        </w:rPr>
        <w:t>EQUALITY COMMISSION FOR</w:t>
      </w:r>
    </w:p>
    <w:p w14:paraId="518160B7" w14:textId="77777777" w:rsidR="00DC4EBB" w:rsidRDefault="00DC4EBB" w:rsidP="00DC4EBB">
      <w:pPr>
        <w:jc w:val="center"/>
        <w:rPr>
          <w:rFonts w:cs="Arial"/>
          <w:b/>
          <w:sz w:val="40"/>
          <w:szCs w:val="40"/>
          <w:lang w:val="en-GB"/>
        </w:rPr>
      </w:pPr>
      <w:smartTag w:uri="urn:schemas-microsoft-com:office:smarttags" w:element="place">
        <w:smartTag w:uri="urn:schemas-microsoft-com:office:smarttags" w:element="country-region">
          <w:r>
            <w:rPr>
              <w:rFonts w:cs="Arial"/>
              <w:b/>
              <w:sz w:val="40"/>
              <w:szCs w:val="40"/>
              <w:lang w:val="en-GB"/>
            </w:rPr>
            <w:t>NORTHERN IRELAND</w:t>
          </w:r>
        </w:smartTag>
      </w:smartTag>
    </w:p>
    <w:p w14:paraId="6B683826" w14:textId="77777777" w:rsidR="00DC4EBB" w:rsidRDefault="00DC4EBB" w:rsidP="00DC4EBB">
      <w:pPr>
        <w:jc w:val="center"/>
        <w:rPr>
          <w:rFonts w:cs="Arial"/>
          <w:b/>
          <w:sz w:val="36"/>
          <w:szCs w:val="36"/>
          <w:lang w:val="en-GB"/>
        </w:rPr>
      </w:pPr>
    </w:p>
    <w:p w14:paraId="183F0AAF" w14:textId="77777777" w:rsidR="00DC4EBB" w:rsidRDefault="00DC4EBB" w:rsidP="00DC4EBB">
      <w:pPr>
        <w:jc w:val="center"/>
        <w:rPr>
          <w:rFonts w:cs="Arial"/>
          <w:b/>
          <w:sz w:val="36"/>
          <w:szCs w:val="36"/>
          <w:lang w:val="en-GB"/>
        </w:rPr>
      </w:pPr>
    </w:p>
    <w:p w14:paraId="45899F3C" w14:textId="77777777" w:rsidR="00DC4EBB" w:rsidRDefault="00DC4EBB" w:rsidP="00DC4EBB">
      <w:pPr>
        <w:jc w:val="center"/>
        <w:rPr>
          <w:rFonts w:cs="Arial"/>
          <w:b/>
          <w:sz w:val="36"/>
          <w:szCs w:val="36"/>
          <w:lang w:val="en-GB"/>
        </w:rPr>
      </w:pPr>
      <w:r>
        <w:rPr>
          <w:rFonts w:cs="Arial"/>
          <w:b/>
          <w:sz w:val="36"/>
          <w:szCs w:val="36"/>
          <w:lang w:val="en-GB"/>
        </w:rPr>
        <w:t>Policy and Procedure for the Provision of Legal Advice and Assistance to Individuals</w:t>
      </w:r>
    </w:p>
    <w:p w14:paraId="4BAE9B76" w14:textId="77777777" w:rsidR="00DC4EBB" w:rsidRDefault="00DC4EBB" w:rsidP="00DC4EBB">
      <w:pPr>
        <w:jc w:val="center"/>
        <w:rPr>
          <w:rFonts w:cs="Arial"/>
          <w:b/>
          <w:sz w:val="36"/>
          <w:szCs w:val="36"/>
          <w:lang w:val="en-GB"/>
        </w:rPr>
      </w:pPr>
    </w:p>
    <w:p w14:paraId="048ECF78" w14:textId="77777777" w:rsidR="00DC4EBB" w:rsidRDefault="00DC4EBB" w:rsidP="00DC4EBB">
      <w:pPr>
        <w:jc w:val="center"/>
        <w:rPr>
          <w:rFonts w:cs="Arial"/>
          <w:b/>
          <w:sz w:val="32"/>
          <w:szCs w:val="32"/>
          <w:lang w:val="en-GB"/>
        </w:rPr>
      </w:pPr>
    </w:p>
    <w:p w14:paraId="75B9DAA6" w14:textId="77777777" w:rsidR="00DC4EBB" w:rsidRDefault="00DC4EBB" w:rsidP="00DC4EBB">
      <w:pPr>
        <w:jc w:val="center"/>
        <w:rPr>
          <w:rFonts w:cs="Arial"/>
          <w:b/>
          <w:sz w:val="32"/>
          <w:szCs w:val="32"/>
          <w:lang w:val="en-GB"/>
        </w:rPr>
      </w:pPr>
    </w:p>
    <w:p w14:paraId="76060B03" w14:textId="77777777" w:rsidR="00DC4EBB" w:rsidRDefault="00DC4EBB" w:rsidP="00DC4EBB">
      <w:pPr>
        <w:rPr>
          <w:rFonts w:cs="Arial"/>
          <w:b/>
          <w:sz w:val="32"/>
          <w:szCs w:val="32"/>
          <w:lang w:val="en-GB"/>
        </w:rPr>
      </w:pPr>
    </w:p>
    <w:p w14:paraId="60E163E7" w14:textId="77777777" w:rsidR="00DC4EBB" w:rsidRDefault="00DC4EBB" w:rsidP="00DC4EBB">
      <w:pPr>
        <w:jc w:val="center"/>
        <w:rPr>
          <w:rFonts w:cs="Arial"/>
          <w:b/>
          <w:sz w:val="32"/>
          <w:szCs w:val="32"/>
          <w:lang w:val="en-GB"/>
        </w:rPr>
      </w:pPr>
    </w:p>
    <w:p w14:paraId="41C291D3" w14:textId="77777777" w:rsidR="00DC4EBB" w:rsidRDefault="00DC4EBB" w:rsidP="00DC4EBB">
      <w:pPr>
        <w:jc w:val="center"/>
        <w:rPr>
          <w:rFonts w:cs="Arial"/>
          <w:b/>
          <w:sz w:val="32"/>
          <w:szCs w:val="32"/>
          <w:lang w:val="en-GB"/>
        </w:rPr>
      </w:pPr>
    </w:p>
    <w:p w14:paraId="60611D9F" w14:textId="77777777" w:rsidR="00DC4EBB" w:rsidRDefault="00DC4EBB" w:rsidP="00DC4EBB">
      <w:pPr>
        <w:jc w:val="center"/>
        <w:rPr>
          <w:rFonts w:cs="Arial"/>
          <w:b/>
          <w:sz w:val="32"/>
          <w:szCs w:val="32"/>
          <w:lang w:val="en-GB"/>
        </w:rPr>
      </w:pPr>
    </w:p>
    <w:p w14:paraId="08BA5207" w14:textId="77777777" w:rsidR="00DC4EBB" w:rsidRDefault="00DC4EBB" w:rsidP="00DC4EBB">
      <w:pPr>
        <w:jc w:val="center"/>
        <w:rPr>
          <w:rFonts w:cs="Arial"/>
          <w:b/>
          <w:sz w:val="32"/>
          <w:szCs w:val="32"/>
          <w:lang w:val="en-GB"/>
        </w:rPr>
      </w:pPr>
    </w:p>
    <w:p w14:paraId="6EE99448" w14:textId="77777777" w:rsidR="00DC4EBB" w:rsidRDefault="00DC4EBB" w:rsidP="00DC4EBB">
      <w:pPr>
        <w:jc w:val="center"/>
        <w:rPr>
          <w:rFonts w:cs="Arial"/>
          <w:b/>
          <w:sz w:val="32"/>
          <w:szCs w:val="32"/>
          <w:lang w:val="en-GB"/>
        </w:rPr>
      </w:pPr>
    </w:p>
    <w:p w14:paraId="11EA81C6" w14:textId="77777777" w:rsidR="00DC4EBB" w:rsidRDefault="00DC4EBB" w:rsidP="00DC4EBB">
      <w:pPr>
        <w:rPr>
          <w:rFonts w:cs="Arial"/>
          <w:b/>
          <w:sz w:val="32"/>
          <w:szCs w:val="32"/>
          <w:lang w:val="en-GB"/>
        </w:rPr>
      </w:pPr>
      <w:r>
        <w:rPr>
          <w:rFonts w:cs="Arial"/>
          <w:b/>
          <w:sz w:val="32"/>
          <w:szCs w:val="32"/>
          <w:lang w:val="en-GB"/>
        </w:rPr>
        <w:t xml:space="preserve">Equality Commission for </w:t>
      </w:r>
      <w:smartTag w:uri="urn:schemas-microsoft-com:office:smarttags" w:element="place">
        <w:smartTag w:uri="urn:schemas-microsoft-com:office:smarttags" w:element="country-region">
          <w:r>
            <w:rPr>
              <w:rFonts w:cs="Arial"/>
              <w:b/>
              <w:sz w:val="32"/>
              <w:szCs w:val="32"/>
              <w:lang w:val="en-GB"/>
            </w:rPr>
            <w:t>Northern Ireland</w:t>
          </w:r>
        </w:smartTag>
      </w:smartTag>
    </w:p>
    <w:p w14:paraId="6C8146E5" w14:textId="77777777" w:rsidR="00DC4EBB" w:rsidRDefault="00DC4EBB" w:rsidP="00DC4EBB">
      <w:pPr>
        <w:rPr>
          <w:rFonts w:cs="Arial"/>
          <w:b/>
          <w:sz w:val="32"/>
          <w:szCs w:val="32"/>
          <w:lang w:val="en-GB"/>
        </w:rPr>
      </w:pPr>
      <w:r>
        <w:rPr>
          <w:rFonts w:cs="Arial"/>
          <w:b/>
          <w:sz w:val="32"/>
          <w:szCs w:val="32"/>
          <w:lang w:val="en-GB"/>
        </w:rPr>
        <w:t>Equality House</w:t>
      </w:r>
    </w:p>
    <w:p w14:paraId="3689A159" w14:textId="77777777" w:rsidR="00DC4EBB" w:rsidRDefault="00DC4EBB" w:rsidP="00DC4EBB">
      <w:pPr>
        <w:rPr>
          <w:rFonts w:cs="Arial"/>
          <w:b/>
          <w:sz w:val="32"/>
          <w:szCs w:val="32"/>
          <w:lang w:val="en-GB"/>
        </w:rPr>
      </w:pPr>
      <w:r>
        <w:rPr>
          <w:rFonts w:cs="Arial"/>
          <w:b/>
          <w:sz w:val="32"/>
          <w:szCs w:val="32"/>
          <w:lang w:val="en-GB"/>
        </w:rPr>
        <w:t xml:space="preserve">7 – </w:t>
      </w:r>
      <w:smartTag w:uri="urn:schemas-microsoft-com:office:smarttags" w:element="address">
        <w:smartTag w:uri="urn:schemas-microsoft-com:office:smarttags" w:element="Street">
          <w:r>
            <w:rPr>
              <w:rFonts w:cs="Arial"/>
              <w:b/>
              <w:sz w:val="32"/>
              <w:szCs w:val="32"/>
              <w:lang w:val="en-GB"/>
            </w:rPr>
            <w:t>9 Shaftesbury Square</w:t>
          </w:r>
        </w:smartTag>
      </w:smartTag>
    </w:p>
    <w:p w14:paraId="58FFAB5F" w14:textId="77777777" w:rsidR="00DC4EBB" w:rsidRDefault="00DC4EBB" w:rsidP="00DC4EBB">
      <w:pPr>
        <w:rPr>
          <w:rFonts w:cs="Arial"/>
          <w:b/>
          <w:sz w:val="32"/>
          <w:szCs w:val="32"/>
          <w:lang w:val="en-GB"/>
        </w:rPr>
      </w:pPr>
      <w:smartTag w:uri="urn:schemas-microsoft-com:office:smarttags" w:element="place">
        <w:smartTag w:uri="urn:schemas-microsoft-com:office:smarttags" w:element="City">
          <w:r>
            <w:rPr>
              <w:rFonts w:cs="Arial"/>
              <w:b/>
              <w:sz w:val="32"/>
              <w:szCs w:val="32"/>
              <w:lang w:val="en-GB"/>
            </w:rPr>
            <w:t>BELFAST</w:t>
          </w:r>
        </w:smartTag>
      </w:smartTag>
      <w:r>
        <w:rPr>
          <w:rFonts w:cs="Arial"/>
          <w:b/>
          <w:sz w:val="32"/>
          <w:szCs w:val="32"/>
          <w:lang w:val="en-GB"/>
        </w:rPr>
        <w:t xml:space="preserve"> BT2 7DP</w:t>
      </w:r>
    </w:p>
    <w:p w14:paraId="635E45C2" w14:textId="77777777" w:rsidR="00DC4EBB" w:rsidRDefault="00DC4EBB" w:rsidP="00DC4EBB">
      <w:pPr>
        <w:rPr>
          <w:rFonts w:cs="Arial"/>
          <w:b/>
          <w:sz w:val="32"/>
          <w:szCs w:val="32"/>
          <w:lang w:val="en-GB"/>
        </w:rPr>
      </w:pPr>
    </w:p>
    <w:p w14:paraId="32A7130C" w14:textId="77777777" w:rsidR="00DC4EBB" w:rsidRDefault="00DC4EBB" w:rsidP="00DC4EBB">
      <w:pPr>
        <w:rPr>
          <w:rFonts w:cs="Arial"/>
          <w:b/>
          <w:bCs/>
          <w:sz w:val="32"/>
          <w:szCs w:val="32"/>
        </w:rPr>
      </w:pPr>
      <w:r>
        <w:rPr>
          <w:rFonts w:cs="Arial"/>
          <w:b/>
          <w:bCs/>
          <w:sz w:val="32"/>
          <w:szCs w:val="32"/>
        </w:rPr>
        <w:t xml:space="preserve">Telephone : 028 90 890890 </w:t>
      </w:r>
      <w:r>
        <w:rPr>
          <w:rFonts w:cs="Arial"/>
          <w:b/>
          <w:bCs/>
          <w:sz w:val="32"/>
          <w:szCs w:val="32"/>
        </w:rPr>
        <w:br/>
        <w:t>Textphone : 028 90 500589</w:t>
      </w:r>
    </w:p>
    <w:p w14:paraId="4E927898" w14:textId="77777777" w:rsidR="00DC4EBB" w:rsidRDefault="00DC4EBB" w:rsidP="00DC4EBB">
      <w:pPr>
        <w:rPr>
          <w:rFonts w:cs="Arial"/>
          <w:b/>
          <w:bCs/>
          <w:sz w:val="32"/>
          <w:szCs w:val="32"/>
        </w:rPr>
      </w:pPr>
      <w:r>
        <w:rPr>
          <w:rFonts w:cs="Arial"/>
          <w:b/>
          <w:bCs/>
          <w:sz w:val="32"/>
          <w:szCs w:val="32"/>
        </w:rPr>
        <w:br/>
        <w:t xml:space="preserve">Email : information@equalityni.org </w:t>
      </w:r>
    </w:p>
    <w:p w14:paraId="642932C3" w14:textId="77777777" w:rsidR="00DC4EBB" w:rsidRDefault="00DC4EBB" w:rsidP="00DC4EBB">
      <w:pPr>
        <w:rPr>
          <w:rFonts w:cs="Arial"/>
          <w:b/>
          <w:bCs/>
          <w:sz w:val="32"/>
          <w:szCs w:val="32"/>
        </w:rPr>
      </w:pPr>
      <w:r>
        <w:rPr>
          <w:rFonts w:cs="Arial"/>
          <w:b/>
          <w:bCs/>
          <w:sz w:val="32"/>
          <w:szCs w:val="32"/>
        </w:rPr>
        <w:t>Website: www.equalityni.org</w:t>
      </w:r>
    </w:p>
    <w:p w14:paraId="1B8D50FD" w14:textId="77777777" w:rsidR="00DC4EBB" w:rsidRDefault="00DC4EBB" w:rsidP="00DC4EBB">
      <w:pPr>
        <w:rPr>
          <w:rFonts w:cs="Arial"/>
          <w:b/>
          <w:sz w:val="32"/>
          <w:szCs w:val="32"/>
        </w:rPr>
      </w:pPr>
    </w:p>
    <w:p w14:paraId="1768ADD7" w14:textId="77777777" w:rsidR="00DC4EBB" w:rsidRDefault="00DC4EBB" w:rsidP="00DC4EBB">
      <w:pPr>
        <w:rPr>
          <w:rFonts w:cs="Arial"/>
          <w:b/>
          <w:sz w:val="32"/>
          <w:szCs w:val="32"/>
          <w:lang w:val="en-GB"/>
        </w:rPr>
      </w:pPr>
    </w:p>
    <w:p w14:paraId="25E1BFDD" w14:textId="77777777" w:rsidR="00DC4EBB" w:rsidRDefault="00DC4EBB" w:rsidP="00DC4EBB">
      <w:pPr>
        <w:rPr>
          <w:rFonts w:cs="Arial"/>
          <w:b/>
          <w:sz w:val="32"/>
          <w:szCs w:val="32"/>
          <w:lang w:val="en-GB"/>
        </w:rPr>
      </w:pPr>
    </w:p>
    <w:p w14:paraId="608A41F2" w14:textId="77777777" w:rsidR="00DC4EBB" w:rsidRDefault="00DC4EBB" w:rsidP="00DC4EBB">
      <w:pPr>
        <w:jc w:val="right"/>
        <w:rPr>
          <w:rFonts w:cs="Arial"/>
          <w:b/>
          <w:sz w:val="32"/>
          <w:szCs w:val="32"/>
          <w:lang w:val="en-GB"/>
        </w:rPr>
      </w:pPr>
      <w:r>
        <w:rPr>
          <w:rFonts w:ascii="Verdana" w:hAnsi="Verdana"/>
          <w:noProof/>
          <w:sz w:val="19"/>
          <w:szCs w:val="19"/>
          <w:lang w:val="en-GB"/>
        </w:rPr>
        <w:drawing>
          <wp:inline distT="0" distB="0" distL="0" distR="0" wp14:anchorId="785F8347" wp14:editId="033C281E">
            <wp:extent cx="2451100" cy="838200"/>
            <wp:effectExtent l="0" t="0" r="6350" b="0"/>
            <wp:docPr id="1" name="Picture 1" descr="The Equal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quality Commiss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100" cy="838200"/>
                    </a:xfrm>
                    <a:prstGeom prst="rect">
                      <a:avLst/>
                    </a:prstGeom>
                    <a:noFill/>
                    <a:ln>
                      <a:noFill/>
                    </a:ln>
                  </pic:spPr>
                </pic:pic>
              </a:graphicData>
            </a:graphic>
          </wp:inline>
        </w:drawing>
      </w:r>
    </w:p>
    <w:p w14:paraId="3310D7C0" w14:textId="77777777" w:rsidR="00DC4EBB" w:rsidRDefault="00DC4EBB" w:rsidP="00DC4EBB"/>
    <w:p w14:paraId="2831BDBD" w14:textId="22371D88" w:rsidR="00DC4EBB" w:rsidRDefault="00DC4EBB" w:rsidP="00DC4EBB"/>
    <w:p w14:paraId="3774B2B7" w14:textId="12F8D4D3" w:rsidR="00403B99" w:rsidRDefault="00403B99" w:rsidP="00DC4EBB"/>
    <w:p w14:paraId="6F095AEC" w14:textId="54F1F962" w:rsidR="00403B99" w:rsidRDefault="00403B99" w:rsidP="00DC4EBB"/>
    <w:p w14:paraId="61F902EF" w14:textId="28F27EF7" w:rsidR="00403B99" w:rsidRDefault="00403B99" w:rsidP="00DC4EBB"/>
    <w:p w14:paraId="2171BAB3" w14:textId="58EDD124" w:rsidR="00403B99" w:rsidRDefault="00403B99" w:rsidP="00DC4EBB"/>
    <w:p w14:paraId="1748BF19" w14:textId="77777777" w:rsidR="00DC4EBB" w:rsidRDefault="00DC4EBB" w:rsidP="00DC4EBB"/>
    <w:p w14:paraId="5CD7E7D7" w14:textId="77777777" w:rsidR="00DC4EBB" w:rsidRDefault="00DC4EBB" w:rsidP="00DC4EBB">
      <w:pPr>
        <w:pStyle w:val="Heading1"/>
        <w:ind w:left="432" w:hanging="432"/>
        <w:rPr>
          <w:b/>
          <w:sz w:val="32"/>
        </w:rPr>
      </w:pPr>
      <w:r>
        <w:rPr>
          <w:b/>
          <w:sz w:val="32"/>
        </w:rPr>
        <w:t>EQUALITY COMMISSION FOR NORTHERN IRELAND</w:t>
      </w:r>
    </w:p>
    <w:p w14:paraId="61E60110" w14:textId="77777777" w:rsidR="00DC4EBB" w:rsidRDefault="00DC4EBB" w:rsidP="00DC4EBB"/>
    <w:p w14:paraId="4FC3BA79" w14:textId="77777777" w:rsidR="00DC4EBB" w:rsidRDefault="00DC4EBB" w:rsidP="00DC4EBB"/>
    <w:p w14:paraId="22D590DF" w14:textId="77777777" w:rsidR="00DC4EBB" w:rsidRDefault="00DC4EBB" w:rsidP="00DC4EBB">
      <w:pPr>
        <w:pStyle w:val="BodyText"/>
        <w:rPr>
          <w:b/>
        </w:rPr>
      </w:pPr>
      <w:r>
        <w:rPr>
          <w:b/>
        </w:rPr>
        <w:t xml:space="preserve">POLICY FOR THE PROVISION OF LEGAL ADVICE AND ASSISTANCE </w:t>
      </w:r>
    </w:p>
    <w:p w14:paraId="7623777A" w14:textId="77777777" w:rsidR="00DC4EBB" w:rsidRDefault="00DC4EBB" w:rsidP="00DC4EBB">
      <w:pPr>
        <w:pStyle w:val="BodyText"/>
        <w:rPr>
          <w:b/>
        </w:rPr>
      </w:pPr>
    </w:p>
    <w:p w14:paraId="49AB7390" w14:textId="77777777" w:rsidR="00DC4EBB" w:rsidRDefault="00DC4EBB" w:rsidP="00DC4EBB">
      <w:pPr>
        <w:pStyle w:val="BodyText"/>
        <w:rPr>
          <w:b/>
        </w:rPr>
      </w:pPr>
    </w:p>
    <w:p w14:paraId="517D390C" w14:textId="77777777" w:rsidR="00DC4EBB" w:rsidRDefault="00DC4EBB" w:rsidP="00DC4EBB">
      <w:pPr>
        <w:pStyle w:val="ListParagraph"/>
        <w:numPr>
          <w:ilvl w:val="0"/>
          <w:numId w:val="1"/>
        </w:numPr>
        <w:rPr>
          <w:b/>
          <w:sz w:val="28"/>
          <w:szCs w:val="28"/>
        </w:rPr>
      </w:pPr>
      <w:r>
        <w:rPr>
          <w:b/>
          <w:sz w:val="28"/>
          <w:szCs w:val="28"/>
        </w:rPr>
        <w:t>Legislative Framework</w:t>
      </w:r>
    </w:p>
    <w:p w14:paraId="4C02641D" w14:textId="77777777" w:rsidR="00DC4EBB" w:rsidRDefault="00DC4EBB" w:rsidP="00DC4EBB">
      <w:pPr>
        <w:rPr>
          <w:sz w:val="28"/>
          <w:szCs w:val="28"/>
        </w:rPr>
      </w:pPr>
    </w:p>
    <w:p w14:paraId="12C795D0" w14:textId="6883583B" w:rsidR="00DC4EBB" w:rsidRDefault="00DC4EBB" w:rsidP="00DC4EBB">
      <w:pPr>
        <w:ind w:left="360"/>
        <w:rPr>
          <w:sz w:val="28"/>
          <w:szCs w:val="28"/>
        </w:rPr>
      </w:pPr>
      <w:r>
        <w:rPr>
          <w:sz w:val="28"/>
          <w:szCs w:val="28"/>
        </w:rPr>
        <w:t>Advice and assistance to individuals who are prospective complainants or claimants may be granted by the Equality Commission for Northern Ireland under the</w:t>
      </w:r>
      <w:r>
        <w:t xml:space="preserve"> </w:t>
      </w:r>
      <w:r>
        <w:rPr>
          <w:sz w:val="28"/>
          <w:szCs w:val="28"/>
        </w:rPr>
        <w:t>provisions of anti-discrimination legislation as set out in Appendix 1</w:t>
      </w:r>
      <w:r w:rsidR="00DD3B80">
        <w:rPr>
          <w:sz w:val="28"/>
          <w:szCs w:val="28"/>
        </w:rPr>
        <w:t>.</w:t>
      </w:r>
    </w:p>
    <w:p w14:paraId="0DCB07E9" w14:textId="77777777" w:rsidR="00DC4EBB" w:rsidRDefault="00DC4EBB" w:rsidP="00DC4EBB">
      <w:pPr>
        <w:ind w:left="720"/>
      </w:pPr>
    </w:p>
    <w:p w14:paraId="40FB23BA" w14:textId="77777777" w:rsidR="00DC4EBB" w:rsidRDefault="00DC4EBB" w:rsidP="00DC4EBB"/>
    <w:p w14:paraId="7D96653E" w14:textId="77777777" w:rsidR="00DC4EBB" w:rsidRDefault="00DC4EBB" w:rsidP="00DC4EBB">
      <w:pPr>
        <w:pStyle w:val="ListParagraph"/>
        <w:numPr>
          <w:ilvl w:val="0"/>
          <w:numId w:val="1"/>
        </w:numPr>
        <w:rPr>
          <w:b/>
          <w:sz w:val="28"/>
          <w:szCs w:val="28"/>
        </w:rPr>
      </w:pPr>
      <w:r>
        <w:rPr>
          <w:b/>
          <w:sz w:val="28"/>
          <w:szCs w:val="28"/>
        </w:rPr>
        <w:t>Information, Guidance and Advice</w:t>
      </w:r>
    </w:p>
    <w:p w14:paraId="0DB6F117" w14:textId="77777777" w:rsidR="00DC4EBB" w:rsidRDefault="00DC4EBB" w:rsidP="00DC4EBB">
      <w:pPr>
        <w:rPr>
          <w:sz w:val="28"/>
          <w:szCs w:val="28"/>
        </w:rPr>
      </w:pPr>
    </w:p>
    <w:p w14:paraId="3E4BB2AF" w14:textId="79AC59F1" w:rsidR="00DC4EBB" w:rsidRDefault="00DC4EBB" w:rsidP="00DC4EBB">
      <w:pPr>
        <w:ind w:left="360"/>
        <w:rPr>
          <w:sz w:val="28"/>
          <w:szCs w:val="28"/>
        </w:rPr>
      </w:pPr>
      <w:proofErr w:type="gramStart"/>
      <w:r>
        <w:rPr>
          <w:sz w:val="28"/>
          <w:szCs w:val="28"/>
        </w:rPr>
        <w:t>Information and guidance on legal rights and the types of assistance, which may be obtained from the Commission, will be provided by Commission staff</w:t>
      </w:r>
      <w:proofErr w:type="gramEnd"/>
      <w:r>
        <w:rPr>
          <w:sz w:val="28"/>
          <w:szCs w:val="28"/>
        </w:rPr>
        <w:t xml:space="preserve"> to all prospective complainants or claimants on grounds of disability, gender, race, religious belief, political opinion, sexual orientation and/or age.</w:t>
      </w:r>
    </w:p>
    <w:p w14:paraId="7912A74E" w14:textId="77777777" w:rsidR="00DC4EBB" w:rsidRDefault="00DC4EBB" w:rsidP="00DC4EBB">
      <w:pPr>
        <w:ind w:left="720"/>
      </w:pPr>
    </w:p>
    <w:p w14:paraId="5BA96354" w14:textId="77777777" w:rsidR="00DC4EBB" w:rsidRDefault="00DC4EBB" w:rsidP="00DC4EBB"/>
    <w:p w14:paraId="0C54816F" w14:textId="64037513" w:rsidR="00DC4EBB" w:rsidRDefault="00DC4EBB" w:rsidP="00DC4EBB">
      <w:pPr>
        <w:pStyle w:val="ListParagraph"/>
        <w:numPr>
          <w:ilvl w:val="0"/>
          <w:numId w:val="1"/>
        </w:numPr>
        <w:rPr>
          <w:b/>
          <w:sz w:val="28"/>
          <w:szCs w:val="28"/>
        </w:rPr>
      </w:pPr>
      <w:proofErr w:type="spellStart"/>
      <w:r>
        <w:rPr>
          <w:b/>
          <w:sz w:val="28"/>
          <w:szCs w:val="28"/>
        </w:rPr>
        <w:t>Authorisation</w:t>
      </w:r>
      <w:proofErr w:type="spellEnd"/>
      <w:r>
        <w:rPr>
          <w:b/>
          <w:sz w:val="28"/>
          <w:szCs w:val="28"/>
        </w:rPr>
        <w:t xml:space="preserve"> of Assistance</w:t>
      </w:r>
    </w:p>
    <w:p w14:paraId="20F632BA" w14:textId="77777777" w:rsidR="00DC4EBB" w:rsidRDefault="00DC4EBB" w:rsidP="00DC4EBB">
      <w:pPr>
        <w:rPr>
          <w:sz w:val="28"/>
          <w:szCs w:val="28"/>
        </w:rPr>
      </w:pPr>
    </w:p>
    <w:p w14:paraId="2004D447" w14:textId="77777777" w:rsidR="00DC4EBB" w:rsidRDefault="00DC4EBB" w:rsidP="00DC4EBB">
      <w:pPr>
        <w:pStyle w:val="BodyTextIndent2"/>
        <w:ind w:left="360"/>
        <w:rPr>
          <w:sz w:val="28"/>
          <w:szCs w:val="28"/>
        </w:rPr>
      </w:pPr>
      <w:r>
        <w:rPr>
          <w:sz w:val="28"/>
          <w:szCs w:val="28"/>
        </w:rPr>
        <w:t>As permitted by Schedule 8, Paragraph 8(1)(a) of the Northern Ireland Act 1998 the power to decide upon the grant of assistance has been delegated by the Commission to a Committee or Committees formed for that purpose.  These Committees are known as Legal Funding Committees and will be made up of Commissioners of the Equality Commission.</w:t>
      </w:r>
    </w:p>
    <w:p w14:paraId="74505EF0" w14:textId="77777777" w:rsidR="00DC4EBB" w:rsidRDefault="00DC4EBB" w:rsidP="00DC4EBB">
      <w:pPr>
        <w:pStyle w:val="BodyTextIndent2"/>
        <w:ind w:left="0"/>
      </w:pPr>
    </w:p>
    <w:p w14:paraId="4A571167" w14:textId="77777777" w:rsidR="00DC4EBB" w:rsidRDefault="00DC4EBB" w:rsidP="00DC4EBB">
      <w:pPr>
        <w:pStyle w:val="BodyTextIndent2"/>
        <w:ind w:left="0"/>
      </w:pPr>
    </w:p>
    <w:p w14:paraId="09436BC5" w14:textId="77777777" w:rsidR="00DC4EBB" w:rsidRDefault="00DC4EBB" w:rsidP="00DC4EBB">
      <w:pPr>
        <w:pStyle w:val="BodyTextIndent2"/>
        <w:numPr>
          <w:ilvl w:val="0"/>
          <w:numId w:val="1"/>
        </w:numPr>
        <w:rPr>
          <w:b/>
          <w:sz w:val="28"/>
          <w:szCs w:val="28"/>
        </w:rPr>
      </w:pPr>
      <w:r>
        <w:rPr>
          <w:b/>
          <w:sz w:val="28"/>
          <w:szCs w:val="28"/>
        </w:rPr>
        <w:t>Assistance</w:t>
      </w:r>
    </w:p>
    <w:p w14:paraId="7A8A25C0" w14:textId="77777777" w:rsidR="00DC4EBB" w:rsidRDefault="00DC4EBB" w:rsidP="00DC4EBB">
      <w:pPr>
        <w:rPr>
          <w:sz w:val="28"/>
          <w:szCs w:val="28"/>
        </w:rPr>
      </w:pPr>
    </w:p>
    <w:p w14:paraId="20D73801" w14:textId="77777777" w:rsidR="00DC4EBB" w:rsidRDefault="00DC4EBB" w:rsidP="00DC4EBB">
      <w:pPr>
        <w:pStyle w:val="Heading1"/>
        <w:numPr>
          <w:ilvl w:val="1"/>
          <w:numId w:val="1"/>
        </w:numPr>
      </w:pPr>
      <w:r>
        <w:t>The Commission may grant any application for assistance received from an individual who is an actual or prospective complainant or claimant in relation to proceedings arising from discrimination on grounds of sex, disability, race, religious or philosophical belief, political opinion, sexual orientation and/or age.</w:t>
      </w:r>
    </w:p>
    <w:p w14:paraId="7B8C3E93" w14:textId="77777777" w:rsidR="00DC4EBB" w:rsidRDefault="00DC4EBB" w:rsidP="00DC4EBB">
      <w:pPr>
        <w:rPr>
          <w:lang w:val="en-GB"/>
        </w:rPr>
      </w:pPr>
    </w:p>
    <w:p w14:paraId="4E4980CB" w14:textId="77777777" w:rsidR="00DC4EBB" w:rsidRDefault="00DC4EBB" w:rsidP="00DC4EBB">
      <w:pPr>
        <w:rPr>
          <w:lang w:val="en-GB"/>
        </w:rPr>
      </w:pPr>
    </w:p>
    <w:p w14:paraId="74DEBB18" w14:textId="77777777" w:rsidR="00DC4EBB" w:rsidRDefault="00DC4EBB" w:rsidP="00DC4EBB">
      <w:pPr>
        <w:rPr>
          <w:lang w:val="en-GB"/>
        </w:rPr>
      </w:pPr>
    </w:p>
    <w:p w14:paraId="1FBC6F46" w14:textId="77777777" w:rsidR="00DC4EBB" w:rsidRDefault="00DC4EBB" w:rsidP="00DC4EBB">
      <w:pPr>
        <w:rPr>
          <w:lang w:val="en-GB"/>
        </w:rPr>
      </w:pPr>
    </w:p>
    <w:p w14:paraId="1B05851B" w14:textId="77777777" w:rsidR="00DC4EBB" w:rsidRDefault="00DC4EBB" w:rsidP="00DC4EBB">
      <w:pPr>
        <w:pStyle w:val="Heading1"/>
        <w:numPr>
          <w:ilvl w:val="1"/>
          <w:numId w:val="1"/>
        </w:numPr>
      </w:pPr>
      <w:r>
        <w:t>The Commission can only grant assistance if the application comes within the statutory grounds specified in  the relevant provisions of the enactments set out in Appendix 1, all of which in broad terms provide that the Commission may grant an application for assistance to an individual, if it thinks fit to do so, on the grounds that:</w:t>
      </w:r>
    </w:p>
    <w:p w14:paraId="3DD02AE2" w14:textId="77777777" w:rsidR="00DC4EBB" w:rsidRDefault="00DC4EBB" w:rsidP="00DC4EBB">
      <w:pPr>
        <w:rPr>
          <w:lang w:val="en-GB"/>
        </w:rPr>
      </w:pPr>
    </w:p>
    <w:p w14:paraId="760A0447" w14:textId="77777777" w:rsidR="00DC4EBB" w:rsidRDefault="00DC4EBB" w:rsidP="00DC4EBB">
      <w:pPr>
        <w:ind w:firstLine="720"/>
        <w:rPr>
          <w:sz w:val="28"/>
          <w:szCs w:val="28"/>
        </w:rPr>
      </w:pPr>
      <w:r>
        <w:rPr>
          <w:sz w:val="28"/>
          <w:szCs w:val="28"/>
        </w:rPr>
        <w:t>(a)</w:t>
      </w:r>
      <w:r>
        <w:rPr>
          <w:sz w:val="28"/>
          <w:szCs w:val="28"/>
        </w:rPr>
        <w:tab/>
        <w:t>the case raises a question of principle;</w:t>
      </w:r>
    </w:p>
    <w:p w14:paraId="7953125F" w14:textId="77777777" w:rsidR="00DC4EBB" w:rsidRDefault="00DC4EBB" w:rsidP="00DC4EBB">
      <w:pPr>
        <w:ind w:left="1440" w:hanging="720"/>
        <w:rPr>
          <w:sz w:val="28"/>
          <w:szCs w:val="28"/>
        </w:rPr>
      </w:pPr>
      <w:r>
        <w:rPr>
          <w:sz w:val="28"/>
          <w:szCs w:val="28"/>
        </w:rPr>
        <w:t>(b)</w:t>
      </w:r>
      <w:r>
        <w:rPr>
          <w:sz w:val="28"/>
          <w:szCs w:val="28"/>
        </w:rPr>
        <w:tab/>
        <w:t>it is unreasonable having regard to the complexity of the case or the Applicant’s position in relation to the Respondent, or another person involved, or to any other matter to expect the Applicant to deal with the case unaided;</w:t>
      </w:r>
    </w:p>
    <w:p w14:paraId="02F4CD03" w14:textId="77777777" w:rsidR="00DC4EBB" w:rsidRDefault="00DC4EBB" w:rsidP="00DC4EBB">
      <w:pPr>
        <w:ind w:firstLine="720"/>
        <w:rPr>
          <w:sz w:val="28"/>
          <w:szCs w:val="28"/>
        </w:rPr>
      </w:pPr>
      <w:r>
        <w:rPr>
          <w:sz w:val="28"/>
          <w:szCs w:val="28"/>
        </w:rPr>
        <w:t>(c)</w:t>
      </w:r>
      <w:r>
        <w:rPr>
          <w:sz w:val="28"/>
          <w:szCs w:val="28"/>
        </w:rPr>
        <w:tab/>
        <w:t>or by reason of any other special consideration.</w:t>
      </w:r>
    </w:p>
    <w:p w14:paraId="0469A15E" w14:textId="77777777" w:rsidR="00DC4EBB" w:rsidRDefault="00DC4EBB" w:rsidP="00DC4EBB">
      <w:pPr>
        <w:ind w:firstLine="720"/>
        <w:rPr>
          <w:sz w:val="28"/>
          <w:szCs w:val="28"/>
        </w:rPr>
      </w:pPr>
    </w:p>
    <w:p w14:paraId="63604C3F" w14:textId="77777777" w:rsidR="00DC4EBB" w:rsidRDefault="00DC4EBB" w:rsidP="00DC4EBB">
      <w:pPr>
        <w:ind w:firstLine="720"/>
      </w:pPr>
    </w:p>
    <w:p w14:paraId="0059E718" w14:textId="77777777" w:rsidR="00DC4EBB" w:rsidRDefault="00DC4EBB" w:rsidP="00DC4EBB">
      <w:pPr>
        <w:pStyle w:val="ListParagraph"/>
        <w:numPr>
          <w:ilvl w:val="0"/>
          <w:numId w:val="1"/>
        </w:numPr>
        <w:rPr>
          <w:sz w:val="28"/>
          <w:szCs w:val="28"/>
        </w:rPr>
      </w:pPr>
      <w:r>
        <w:rPr>
          <w:b/>
          <w:sz w:val="28"/>
          <w:szCs w:val="28"/>
        </w:rPr>
        <w:t>Discretionary factors to consider in deciding whether to grant assistance</w:t>
      </w:r>
    </w:p>
    <w:p w14:paraId="14034296" w14:textId="77777777" w:rsidR="00DC4EBB" w:rsidRDefault="00DC4EBB" w:rsidP="00DC4EBB">
      <w:pPr>
        <w:rPr>
          <w:sz w:val="28"/>
          <w:szCs w:val="28"/>
        </w:rPr>
      </w:pPr>
    </w:p>
    <w:p w14:paraId="5C1E372E" w14:textId="73AF43EC" w:rsidR="00DC4EBB" w:rsidRDefault="00DC4EBB" w:rsidP="00DC4EBB">
      <w:pPr>
        <w:pStyle w:val="Heading1"/>
        <w:numPr>
          <w:ilvl w:val="1"/>
          <w:numId w:val="1"/>
        </w:numPr>
      </w:pPr>
      <w:r>
        <w:t xml:space="preserve">It is the Commission’s aim to ensure a focus on enforcement across all of the discrimination areas.  To that </w:t>
      </w:r>
      <w:proofErr w:type="gramStart"/>
      <w:r>
        <w:t>end</w:t>
      </w:r>
      <w:proofErr w:type="gramEnd"/>
      <w:r>
        <w:t xml:space="preserve"> the Commission will consider applications for assistance under each of the discrimination statutes; however i</w:t>
      </w:r>
      <w:r w:rsidR="00345DB9">
        <w:t xml:space="preserve">t will retain the discretion to </w:t>
      </w:r>
      <w:r>
        <w:t>focus on specific areas as set out in the annual Business Plan for the applicable year.</w:t>
      </w:r>
    </w:p>
    <w:p w14:paraId="0E37BAE2" w14:textId="77777777" w:rsidR="00DC4EBB" w:rsidRDefault="00DC4EBB" w:rsidP="00DC4EBB">
      <w:pPr>
        <w:rPr>
          <w:lang w:val="en-GB"/>
        </w:rPr>
      </w:pPr>
    </w:p>
    <w:p w14:paraId="0B092D9F" w14:textId="77777777" w:rsidR="00DC4EBB" w:rsidRPr="00146C34" w:rsidRDefault="00DC4EBB" w:rsidP="00DC4EBB">
      <w:pPr>
        <w:pStyle w:val="Heading1"/>
        <w:numPr>
          <w:ilvl w:val="1"/>
          <w:numId w:val="1"/>
        </w:numPr>
        <w:rPr>
          <w:color w:val="000000" w:themeColor="text1"/>
          <w:szCs w:val="28"/>
        </w:rPr>
      </w:pPr>
      <w:r>
        <w:rPr>
          <w:szCs w:val="28"/>
        </w:rPr>
        <w:t>The Commission will also consider the extent to which it has supported same or similar cases.  This means that the Commission may support cases where the issue has been the subject of repeated complaints to the Commission; or alternatively past support for the issue may mean that the cost of supporting another similar application is not justified</w:t>
      </w:r>
      <w:r w:rsidRPr="00146C34">
        <w:rPr>
          <w:color w:val="000000" w:themeColor="text1"/>
          <w:szCs w:val="28"/>
        </w:rPr>
        <w:t>.</w:t>
      </w:r>
    </w:p>
    <w:p w14:paraId="7A27E51B" w14:textId="77777777" w:rsidR="00DC4EBB" w:rsidRDefault="00DC4EBB" w:rsidP="00DC4EBB">
      <w:pPr>
        <w:rPr>
          <w:lang w:val="en-GB"/>
        </w:rPr>
      </w:pPr>
    </w:p>
    <w:p w14:paraId="678D2D6C" w14:textId="5FC2CB96" w:rsidR="00DC4EBB" w:rsidRDefault="00DC4EBB" w:rsidP="00DC4EBB">
      <w:pPr>
        <w:pStyle w:val="Heading1"/>
        <w:numPr>
          <w:ilvl w:val="1"/>
          <w:numId w:val="1"/>
        </w:numPr>
      </w:pPr>
      <w:r>
        <w:rPr>
          <w:szCs w:val="28"/>
        </w:rPr>
        <w:t xml:space="preserve">In exercising its discretion to grant assistance the Commission will have regard to its obligations under the Human Rights Act 1998 and the European Convention on Human Rights. Each application will be considered individually.  In reaching its decision whether it </w:t>
      </w:r>
      <w:proofErr w:type="gramStart"/>
      <w:r>
        <w:rPr>
          <w:szCs w:val="28"/>
        </w:rPr>
        <w:t>is</w:t>
      </w:r>
      <w:proofErr w:type="gramEnd"/>
      <w:r>
        <w:rPr>
          <w:szCs w:val="28"/>
        </w:rPr>
        <w:t xml:space="preserve"> thought fit to grant assistance the Legal Funding Committee will assess whether the application meets one or more of the statutory grounds.</w:t>
      </w:r>
    </w:p>
    <w:p w14:paraId="2E1488BD" w14:textId="77777777" w:rsidR="00DC4EBB" w:rsidRDefault="00DC4EBB" w:rsidP="000768D6"/>
    <w:p w14:paraId="64CE81D7" w14:textId="77777777" w:rsidR="00DC4EBB" w:rsidRDefault="00DC4EBB" w:rsidP="00DC4EBB">
      <w:pPr>
        <w:pStyle w:val="Heading1"/>
        <w:numPr>
          <w:ilvl w:val="1"/>
          <w:numId w:val="1"/>
        </w:numPr>
      </w:pPr>
      <w:r>
        <w:rPr>
          <w:szCs w:val="28"/>
        </w:rPr>
        <w:lastRenderedPageBreak/>
        <w:t xml:space="preserve">In addition to the statutory </w:t>
      </w:r>
      <w:proofErr w:type="gramStart"/>
      <w:r>
        <w:rPr>
          <w:szCs w:val="28"/>
        </w:rPr>
        <w:t>grounds</w:t>
      </w:r>
      <w:proofErr w:type="gramEnd"/>
      <w:r>
        <w:rPr>
          <w:szCs w:val="28"/>
        </w:rPr>
        <w:t xml:space="preserve"> the Commission will have regard to and assess the strength of the following discretionary criteria and any other relevant factors:</w:t>
      </w:r>
    </w:p>
    <w:p w14:paraId="6158045F" w14:textId="77777777" w:rsidR="00DC4EBB" w:rsidRDefault="00DC4EBB" w:rsidP="00D94CE8">
      <w:r>
        <w:t xml:space="preserve"> </w:t>
      </w:r>
    </w:p>
    <w:p w14:paraId="08ACA69A" w14:textId="2B318A4D" w:rsidR="00DC4EBB" w:rsidRDefault="00DC4EBB" w:rsidP="00DC4EBB">
      <w:pPr>
        <w:pStyle w:val="BodyTextIndent"/>
        <w:numPr>
          <w:ilvl w:val="0"/>
          <w:numId w:val="2"/>
        </w:numPr>
        <w:rPr>
          <w:sz w:val="28"/>
          <w:szCs w:val="28"/>
        </w:rPr>
      </w:pPr>
      <w:r>
        <w:rPr>
          <w:b/>
          <w:sz w:val="28"/>
          <w:szCs w:val="28"/>
        </w:rPr>
        <w:t>Strategic objectives</w:t>
      </w:r>
      <w:r>
        <w:rPr>
          <w:sz w:val="28"/>
          <w:szCs w:val="28"/>
        </w:rPr>
        <w:t xml:space="preserve"> - the extent to which the case meets the overall strategic objectives of the Commission as set out in its Corporate and Business Plans</w:t>
      </w:r>
      <w:r w:rsidR="00030588">
        <w:rPr>
          <w:sz w:val="28"/>
          <w:szCs w:val="28"/>
        </w:rPr>
        <w:t xml:space="preserve"> </w:t>
      </w:r>
      <w:r w:rsidR="00030588" w:rsidRPr="0001579D">
        <w:rPr>
          <w:sz w:val="28"/>
          <w:szCs w:val="28"/>
        </w:rPr>
        <w:t>in place at the time</w:t>
      </w:r>
      <w:r>
        <w:rPr>
          <w:sz w:val="28"/>
          <w:szCs w:val="28"/>
        </w:rPr>
        <w:t>;</w:t>
      </w:r>
    </w:p>
    <w:p w14:paraId="62801F9C" w14:textId="77777777" w:rsidR="00DC4EBB" w:rsidRDefault="00DC4EBB" w:rsidP="00DC4EBB">
      <w:pPr>
        <w:pStyle w:val="BodyTextIndent"/>
        <w:ind w:left="1498" w:firstLine="0"/>
        <w:rPr>
          <w:sz w:val="28"/>
          <w:szCs w:val="28"/>
        </w:rPr>
      </w:pPr>
      <w:r>
        <w:rPr>
          <w:sz w:val="28"/>
          <w:szCs w:val="28"/>
        </w:rPr>
        <w:t xml:space="preserve">  </w:t>
      </w:r>
    </w:p>
    <w:p w14:paraId="68499051" w14:textId="39034B3A" w:rsidR="00DC4EBB" w:rsidRDefault="00334E14" w:rsidP="00DC4EBB">
      <w:pPr>
        <w:pStyle w:val="BodyTextIndent"/>
        <w:numPr>
          <w:ilvl w:val="0"/>
          <w:numId w:val="2"/>
        </w:numPr>
        <w:rPr>
          <w:sz w:val="28"/>
          <w:szCs w:val="28"/>
        </w:rPr>
      </w:pPr>
      <w:r>
        <w:rPr>
          <w:b/>
          <w:sz w:val="28"/>
          <w:szCs w:val="28"/>
        </w:rPr>
        <w:t>Impact and r</w:t>
      </w:r>
      <w:r w:rsidR="00DC4EBB">
        <w:rPr>
          <w:b/>
          <w:sz w:val="28"/>
          <w:szCs w:val="28"/>
        </w:rPr>
        <w:t>ipple effect</w:t>
      </w:r>
      <w:r w:rsidR="00DC4EBB">
        <w:rPr>
          <w:sz w:val="28"/>
          <w:szCs w:val="28"/>
        </w:rPr>
        <w:t xml:space="preserve"> - the extent to which a successful outcome in the case is likely to have a positive effect beyond the individual’s circumstances, in terms of raising awareness of the protections in law, having potential to change discriminatory practice, </w:t>
      </w:r>
      <w:r w:rsidR="00CA6209" w:rsidRPr="002C7062">
        <w:rPr>
          <w:sz w:val="28"/>
          <w:szCs w:val="28"/>
        </w:rPr>
        <w:t xml:space="preserve">provide for follow up by the Commission in pursuit of its statutory objectives, </w:t>
      </w:r>
      <w:r w:rsidR="00DC4EBB">
        <w:rPr>
          <w:sz w:val="28"/>
          <w:szCs w:val="28"/>
        </w:rPr>
        <w:t>or otherwise;</w:t>
      </w:r>
    </w:p>
    <w:p w14:paraId="69325BCC" w14:textId="77777777" w:rsidR="00DC4EBB" w:rsidRDefault="00DC4EBB" w:rsidP="000768D6"/>
    <w:p w14:paraId="4BF8A249" w14:textId="027345E8" w:rsidR="00DC4EBB" w:rsidRDefault="00DC4EBB" w:rsidP="00DC4EBB">
      <w:pPr>
        <w:pStyle w:val="Heading2"/>
        <w:numPr>
          <w:ilvl w:val="0"/>
          <w:numId w:val="2"/>
        </w:numPr>
        <w:rPr>
          <w:szCs w:val="28"/>
        </w:rPr>
      </w:pPr>
      <w:r>
        <w:rPr>
          <w:b/>
          <w:szCs w:val="28"/>
          <w:lang w:val="en-US"/>
        </w:rPr>
        <w:t>Legal uncertainty</w:t>
      </w:r>
      <w:r>
        <w:rPr>
          <w:szCs w:val="28"/>
          <w:lang w:val="en-US"/>
        </w:rPr>
        <w:t xml:space="preserve"> - </w:t>
      </w:r>
      <w:r>
        <w:rPr>
          <w:szCs w:val="28"/>
        </w:rPr>
        <w:t>the extent to which the matter may raise an issue of legal uncertainty, or allow for a challenge of untested areas of discrimination law;</w:t>
      </w:r>
    </w:p>
    <w:p w14:paraId="1C76AA0E" w14:textId="77777777" w:rsidR="00DC4EBB" w:rsidRDefault="00DC4EBB" w:rsidP="00DC4EBB">
      <w:pPr>
        <w:rPr>
          <w:sz w:val="28"/>
          <w:szCs w:val="28"/>
          <w:lang w:val="en-GB"/>
        </w:rPr>
      </w:pPr>
    </w:p>
    <w:p w14:paraId="0F66A545" w14:textId="77777777" w:rsidR="00DC4EBB" w:rsidRDefault="00DC4EBB" w:rsidP="00DC4EBB">
      <w:pPr>
        <w:pStyle w:val="Heading2"/>
        <w:numPr>
          <w:ilvl w:val="0"/>
          <w:numId w:val="2"/>
        </w:numPr>
        <w:rPr>
          <w:szCs w:val="28"/>
        </w:rPr>
      </w:pPr>
      <w:r>
        <w:rPr>
          <w:b/>
          <w:szCs w:val="28"/>
        </w:rPr>
        <w:t>Merits of the case</w:t>
      </w:r>
      <w:r>
        <w:rPr>
          <w:szCs w:val="28"/>
        </w:rPr>
        <w:t xml:space="preserve"> - the extent to which there are reasonable grounds for believing that an act of unlawful discrimination may have been committed as alleged, or that there are reasonable prospects of success (depending upon the stage to which proceedings have progressed);</w:t>
      </w:r>
    </w:p>
    <w:p w14:paraId="6FDEF4CC" w14:textId="77777777" w:rsidR="00DC4EBB" w:rsidRDefault="00DC4EBB" w:rsidP="00DC4EBB">
      <w:pPr>
        <w:rPr>
          <w:sz w:val="28"/>
          <w:szCs w:val="28"/>
          <w:lang w:val="en-GB"/>
        </w:rPr>
      </w:pPr>
    </w:p>
    <w:p w14:paraId="576220CE" w14:textId="77777777" w:rsidR="00DC4EBB" w:rsidRDefault="00DC4EBB" w:rsidP="00DC4EBB">
      <w:pPr>
        <w:pStyle w:val="BodyTextIndent"/>
        <w:numPr>
          <w:ilvl w:val="0"/>
          <w:numId w:val="2"/>
        </w:numPr>
        <w:rPr>
          <w:sz w:val="28"/>
          <w:szCs w:val="28"/>
        </w:rPr>
      </w:pPr>
      <w:r>
        <w:rPr>
          <w:b/>
          <w:sz w:val="28"/>
          <w:szCs w:val="28"/>
        </w:rPr>
        <w:t xml:space="preserve">Cost – benefit </w:t>
      </w:r>
      <w:r>
        <w:rPr>
          <w:sz w:val="28"/>
          <w:szCs w:val="28"/>
        </w:rPr>
        <w:t xml:space="preserve"> - the extent to which the likely cost of assistance is justified in pursuit of the statutory objectives of the Commission;</w:t>
      </w:r>
    </w:p>
    <w:p w14:paraId="6A9171D9" w14:textId="77777777" w:rsidR="00DC4EBB" w:rsidRDefault="00DC4EBB" w:rsidP="00DC4EBB">
      <w:pPr>
        <w:pStyle w:val="ListParagraph"/>
        <w:rPr>
          <w:sz w:val="28"/>
          <w:szCs w:val="28"/>
        </w:rPr>
      </w:pPr>
    </w:p>
    <w:p w14:paraId="68C98B10" w14:textId="52E642D7" w:rsidR="00DC4EBB" w:rsidRDefault="00684BEF" w:rsidP="00DC4EBB">
      <w:pPr>
        <w:pStyle w:val="BodyTextIndent"/>
        <w:numPr>
          <w:ilvl w:val="0"/>
          <w:numId w:val="2"/>
        </w:numPr>
        <w:rPr>
          <w:sz w:val="28"/>
          <w:szCs w:val="28"/>
        </w:rPr>
      </w:pPr>
      <w:r>
        <w:rPr>
          <w:b/>
          <w:sz w:val="28"/>
          <w:szCs w:val="28"/>
        </w:rPr>
        <w:t>A</w:t>
      </w:r>
      <w:r w:rsidR="00DC4EBB">
        <w:rPr>
          <w:b/>
          <w:sz w:val="28"/>
          <w:szCs w:val="28"/>
        </w:rPr>
        <w:t>ny other factor</w:t>
      </w:r>
      <w:r w:rsidR="00DC4EBB">
        <w:rPr>
          <w:sz w:val="28"/>
          <w:szCs w:val="28"/>
        </w:rPr>
        <w:t xml:space="preserve"> the Legal Funding Committee considers relevant, including the extent to which the Commission has supported same or similar cases; and whether the Commission’s annual Business Plan has specified a focus on particular types of complaint during that year.</w:t>
      </w:r>
    </w:p>
    <w:p w14:paraId="16E8E0F9" w14:textId="77777777" w:rsidR="00DC4EBB" w:rsidRDefault="00DC4EBB" w:rsidP="00DC4EBB">
      <w:pPr>
        <w:pStyle w:val="ListParagraph"/>
        <w:rPr>
          <w:sz w:val="28"/>
          <w:szCs w:val="28"/>
        </w:rPr>
      </w:pPr>
    </w:p>
    <w:p w14:paraId="7F0B631B" w14:textId="77777777" w:rsidR="00DC4EBB" w:rsidRDefault="00DC4EBB" w:rsidP="00DC4EBB">
      <w:pPr>
        <w:pStyle w:val="BodyTextIndent"/>
        <w:numPr>
          <w:ilvl w:val="0"/>
          <w:numId w:val="1"/>
        </w:numPr>
        <w:rPr>
          <w:sz w:val="28"/>
          <w:szCs w:val="28"/>
        </w:rPr>
      </w:pPr>
      <w:r>
        <w:rPr>
          <w:sz w:val="28"/>
          <w:szCs w:val="28"/>
        </w:rPr>
        <w:t>Whilst retaining discretion, assistance will not normally be granted by Legal Funding Committees in the following circumstances:</w:t>
      </w:r>
    </w:p>
    <w:p w14:paraId="72E5FAEA" w14:textId="77777777" w:rsidR="00DC4EBB" w:rsidRDefault="00DC4EBB" w:rsidP="00DC4EBB">
      <w:pPr>
        <w:ind w:left="1440"/>
        <w:rPr>
          <w:sz w:val="28"/>
          <w:szCs w:val="28"/>
        </w:rPr>
      </w:pPr>
      <w:r>
        <w:rPr>
          <w:sz w:val="28"/>
          <w:szCs w:val="28"/>
        </w:rPr>
        <w:tab/>
      </w:r>
    </w:p>
    <w:p w14:paraId="5A81097C" w14:textId="77777777" w:rsidR="001078F8" w:rsidRDefault="00DC4EBB" w:rsidP="001078F8">
      <w:pPr>
        <w:pStyle w:val="Heading2"/>
        <w:numPr>
          <w:ilvl w:val="0"/>
          <w:numId w:val="3"/>
        </w:numPr>
        <w:rPr>
          <w:szCs w:val="28"/>
        </w:rPr>
      </w:pPr>
      <w:r>
        <w:rPr>
          <w:b/>
          <w:szCs w:val="28"/>
        </w:rPr>
        <w:t>Non-compliance with statutory time limits</w:t>
      </w:r>
      <w:r>
        <w:rPr>
          <w:szCs w:val="28"/>
        </w:rPr>
        <w:t xml:space="preserve"> – a case that appears to have not been lodged with the relevant court or Tribunal and the time limit for lodgement has expired; or a case has been lodged late and outside of the deadline for </w:t>
      </w:r>
      <w:r>
        <w:rPr>
          <w:szCs w:val="28"/>
        </w:rPr>
        <w:lastRenderedPageBreak/>
        <w:t>the relevant proceedings, will not be assisted unless a tribunal or court has ruled (or is likely to rule) that it is just and equitable for that case to be heard;</w:t>
      </w:r>
    </w:p>
    <w:p w14:paraId="19CC4758" w14:textId="4CD9CC57" w:rsidR="001078F8" w:rsidRDefault="00DC4EBB" w:rsidP="000768D6">
      <w:r>
        <w:t xml:space="preserve"> </w:t>
      </w:r>
    </w:p>
    <w:p w14:paraId="70961698" w14:textId="549FB9BA" w:rsidR="00DC4EBB" w:rsidRPr="001078F8" w:rsidRDefault="00DC4EBB" w:rsidP="001078F8">
      <w:pPr>
        <w:pStyle w:val="Heading2"/>
        <w:numPr>
          <w:ilvl w:val="0"/>
          <w:numId w:val="3"/>
        </w:numPr>
        <w:rPr>
          <w:szCs w:val="28"/>
        </w:rPr>
      </w:pPr>
      <w:r w:rsidRPr="001078F8">
        <w:rPr>
          <w:rFonts w:cs="Arial"/>
          <w:b/>
          <w:szCs w:val="28"/>
        </w:rPr>
        <w:t xml:space="preserve">Non-cooperation </w:t>
      </w:r>
      <w:r w:rsidRPr="001078F8">
        <w:rPr>
          <w:rFonts w:cs="Arial"/>
          <w:szCs w:val="28"/>
        </w:rPr>
        <w:t xml:space="preserve">- where an applicant fails to co-operate with the staff of the Commission in relation to an application for assistance, (including unreasonable conduct towards staff of the Commission or in relation to the Commission itself) assistance will not normally </w:t>
      </w:r>
      <w:proofErr w:type="gramStart"/>
      <w:r w:rsidRPr="001078F8">
        <w:rPr>
          <w:rFonts w:cs="Arial"/>
          <w:szCs w:val="28"/>
        </w:rPr>
        <w:t>be granted</w:t>
      </w:r>
      <w:proofErr w:type="gramEnd"/>
      <w:r w:rsidRPr="001078F8">
        <w:rPr>
          <w:rFonts w:cs="Arial"/>
          <w:szCs w:val="28"/>
        </w:rPr>
        <w:t xml:space="preserve">, or will be withdrawn.  The Commission will bear in mind its obligations </w:t>
      </w:r>
      <w:r w:rsidR="001078F8" w:rsidRPr="001078F8">
        <w:rPr>
          <w:rFonts w:cs="Arial"/>
          <w:szCs w:val="28"/>
        </w:rPr>
        <w:t xml:space="preserve">as an employer </w:t>
      </w:r>
      <w:r w:rsidR="001078F8">
        <w:rPr>
          <w:rFonts w:cs="Arial"/>
          <w:szCs w:val="28"/>
        </w:rPr>
        <w:t>and as a service provider</w:t>
      </w:r>
      <w:r w:rsidRPr="001078F8">
        <w:rPr>
          <w:rFonts w:cs="Arial"/>
          <w:szCs w:val="28"/>
        </w:rPr>
        <w:t xml:space="preserve"> and </w:t>
      </w:r>
      <w:proofErr w:type="gramStart"/>
      <w:r w:rsidRPr="001078F8">
        <w:rPr>
          <w:rFonts w:cs="Arial"/>
          <w:szCs w:val="28"/>
        </w:rPr>
        <w:t>will</w:t>
      </w:r>
      <w:proofErr w:type="gramEnd"/>
      <w:r w:rsidRPr="001078F8">
        <w:rPr>
          <w:rFonts w:cs="Arial"/>
          <w:szCs w:val="28"/>
        </w:rPr>
        <w:t xml:space="preserve"> </w:t>
      </w:r>
      <w:r w:rsidR="001078F8" w:rsidRPr="001078F8">
        <w:rPr>
          <w:rFonts w:cs="Arial"/>
          <w:szCs w:val="28"/>
          <w:lang w:val="en-US"/>
        </w:rPr>
        <w:t>make necessary adjustments to service provision to ensure that there are no barriers that may impede any individual’s cooperation with the Commission.</w:t>
      </w:r>
    </w:p>
    <w:p w14:paraId="48EDB742" w14:textId="77777777" w:rsidR="00DC4EBB" w:rsidRDefault="00DC4EBB" w:rsidP="00DC4EBB">
      <w:pPr>
        <w:pStyle w:val="BodyTextIndent2"/>
        <w:rPr>
          <w:sz w:val="28"/>
          <w:szCs w:val="28"/>
        </w:rPr>
      </w:pPr>
      <w:r>
        <w:rPr>
          <w:sz w:val="28"/>
          <w:szCs w:val="28"/>
        </w:rPr>
        <w:t>.</w:t>
      </w:r>
    </w:p>
    <w:p w14:paraId="629C4A7F" w14:textId="77777777" w:rsidR="00DC4EBB" w:rsidRDefault="00DC4EBB" w:rsidP="00DC4EBB">
      <w:pPr>
        <w:pStyle w:val="BodyTextIndent"/>
        <w:rPr>
          <w:sz w:val="28"/>
          <w:szCs w:val="28"/>
        </w:rPr>
      </w:pPr>
      <w:r>
        <w:rPr>
          <w:sz w:val="28"/>
          <w:szCs w:val="28"/>
        </w:rPr>
        <w:tab/>
      </w:r>
    </w:p>
    <w:p w14:paraId="20E2DD14" w14:textId="77777777" w:rsidR="00DC4EBB" w:rsidRDefault="00DC4EBB" w:rsidP="00DC4EBB">
      <w:pPr>
        <w:pStyle w:val="BodyTextIndent"/>
        <w:numPr>
          <w:ilvl w:val="0"/>
          <w:numId w:val="1"/>
        </w:numPr>
        <w:rPr>
          <w:sz w:val="28"/>
          <w:szCs w:val="28"/>
        </w:rPr>
      </w:pPr>
      <w:r>
        <w:rPr>
          <w:b/>
          <w:sz w:val="28"/>
          <w:szCs w:val="28"/>
        </w:rPr>
        <w:t xml:space="preserve"> Grant of Assistance</w:t>
      </w:r>
    </w:p>
    <w:p w14:paraId="3A48142B" w14:textId="77777777" w:rsidR="00DC4EBB" w:rsidRDefault="00DC4EBB" w:rsidP="00DC4EBB">
      <w:pPr>
        <w:rPr>
          <w:sz w:val="28"/>
          <w:szCs w:val="28"/>
        </w:rPr>
      </w:pPr>
    </w:p>
    <w:p w14:paraId="7A3A8F88" w14:textId="77777777" w:rsidR="00DC4EBB" w:rsidRDefault="00DC4EBB" w:rsidP="00DC4EBB">
      <w:pPr>
        <w:ind w:left="360"/>
        <w:rPr>
          <w:sz w:val="28"/>
          <w:szCs w:val="28"/>
        </w:rPr>
      </w:pPr>
      <w:r>
        <w:rPr>
          <w:sz w:val="28"/>
          <w:szCs w:val="28"/>
        </w:rPr>
        <w:t xml:space="preserve">A decision by a Committee granting assistance constitutes authority to provide all those forms of assistance specified in the legislation as set out in Appendix 1 which are essentially – </w:t>
      </w:r>
    </w:p>
    <w:p w14:paraId="33A15369" w14:textId="77777777" w:rsidR="00DC4EBB" w:rsidRDefault="00DC4EBB" w:rsidP="00DC4EBB">
      <w:pPr>
        <w:numPr>
          <w:ilvl w:val="0"/>
          <w:numId w:val="4"/>
        </w:numPr>
        <w:tabs>
          <w:tab w:val="num" w:pos="1080"/>
        </w:tabs>
        <w:ind w:left="1008"/>
        <w:rPr>
          <w:sz w:val="28"/>
          <w:szCs w:val="28"/>
        </w:rPr>
      </w:pPr>
      <w:r>
        <w:rPr>
          <w:sz w:val="28"/>
          <w:szCs w:val="28"/>
        </w:rPr>
        <w:t>providing or arranging for the provision of legal advice</w:t>
      </w:r>
    </w:p>
    <w:p w14:paraId="4F09B87D" w14:textId="77777777" w:rsidR="00DC4EBB" w:rsidRDefault="00DC4EBB" w:rsidP="00DC4EBB">
      <w:pPr>
        <w:numPr>
          <w:ilvl w:val="0"/>
          <w:numId w:val="4"/>
        </w:numPr>
        <w:tabs>
          <w:tab w:val="num" w:pos="1080"/>
        </w:tabs>
        <w:ind w:left="1008"/>
        <w:rPr>
          <w:sz w:val="28"/>
          <w:szCs w:val="28"/>
        </w:rPr>
      </w:pPr>
      <w:r>
        <w:rPr>
          <w:sz w:val="28"/>
          <w:szCs w:val="28"/>
        </w:rPr>
        <w:t>arranging legal or other representation which may include that usually given by a solicitor or counsel</w:t>
      </w:r>
    </w:p>
    <w:p w14:paraId="42F768FA" w14:textId="77777777" w:rsidR="00DC4EBB" w:rsidRDefault="00DC4EBB" w:rsidP="00DC4EBB">
      <w:pPr>
        <w:numPr>
          <w:ilvl w:val="0"/>
          <w:numId w:val="4"/>
        </w:numPr>
        <w:tabs>
          <w:tab w:val="num" w:pos="1080"/>
        </w:tabs>
        <w:ind w:left="1008"/>
        <w:rPr>
          <w:sz w:val="28"/>
          <w:szCs w:val="28"/>
        </w:rPr>
      </w:pPr>
      <w:r>
        <w:rPr>
          <w:sz w:val="28"/>
          <w:szCs w:val="28"/>
        </w:rPr>
        <w:t>seeking to procure a settlement</w:t>
      </w:r>
    </w:p>
    <w:p w14:paraId="2883294C" w14:textId="77777777" w:rsidR="00DC4EBB" w:rsidRDefault="00DC4EBB" w:rsidP="00DC4EBB">
      <w:pPr>
        <w:numPr>
          <w:ilvl w:val="0"/>
          <w:numId w:val="4"/>
        </w:numPr>
        <w:tabs>
          <w:tab w:val="num" w:pos="1080"/>
        </w:tabs>
        <w:ind w:left="1008"/>
        <w:rPr>
          <w:sz w:val="28"/>
          <w:szCs w:val="28"/>
        </w:rPr>
      </w:pPr>
      <w:r>
        <w:rPr>
          <w:sz w:val="28"/>
          <w:szCs w:val="28"/>
        </w:rPr>
        <w:t>providing or arranging for any other assistance as appropriate.</w:t>
      </w:r>
    </w:p>
    <w:p w14:paraId="4AD4005B" w14:textId="66C0D0CD" w:rsidR="00DC4EBB" w:rsidRDefault="00DC4EBB" w:rsidP="002139EE">
      <w:pPr>
        <w:pStyle w:val="BodyText3"/>
        <w:ind w:left="360"/>
        <w:rPr>
          <w:b w:val="0"/>
          <w:szCs w:val="28"/>
          <w:u w:val="none"/>
        </w:rPr>
      </w:pPr>
      <w:r>
        <w:rPr>
          <w:b w:val="0"/>
          <w:szCs w:val="28"/>
          <w:u w:val="none"/>
        </w:rPr>
        <w:t xml:space="preserve">The applicant and/or her/his representative </w:t>
      </w:r>
      <w:proofErr w:type="gramStart"/>
      <w:r>
        <w:rPr>
          <w:b w:val="0"/>
          <w:szCs w:val="28"/>
          <w:u w:val="none"/>
        </w:rPr>
        <w:t xml:space="preserve">will be </w:t>
      </w:r>
      <w:hyperlink r:id="rId9" w:history="1">
        <w:r w:rsidR="00AD66D6" w:rsidRPr="00AD66D6">
          <w:rPr>
            <w:rStyle w:val="Hyperlink"/>
            <w:rFonts w:cs="Arial"/>
            <w:b w:val="0"/>
            <w:color w:val="0000FF"/>
            <w:szCs w:val="28"/>
          </w:rPr>
          <w:t>notified</w:t>
        </w:r>
        <w:proofErr w:type="gramEnd"/>
        <w:r w:rsidR="00AD66D6" w:rsidRPr="00AD66D6">
          <w:rPr>
            <w:rStyle w:val="Hyperlink"/>
            <w:rFonts w:cs="Arial"/>
            <w:b w:val="0"/>
            <w:color w:val="0000FF"/>
            <w:szCs w:val="28"/>
          </w:rPr>
          <w:t xml:space="preserve"> in writing of the offer of assistance</w:t>
        </w:r>
      </w:hyperlink>
      <w:r w:rsidR="002139EE" w:rsidRPr="005A3AEB">
        <w:rPr>
          <w:b w:val="0"/>
          <w:szCs w:val="28"/>
          <w:u w:val="none"/>
        </w:rPr>
        <w:t>, subject to their acceptance of the Conditions of Offer</w:t>
      </w:r>
      <w:r w:rsidR="002139EE" w:rsidRPr="002139EE">
        <w:rPr>
          <w:b w:val="0"/>
          <w:szCs w:val="28"/>
          <w:u w:val="none"/>
        </w:rPr>
        <w:t>.</w:t>
      </w:r>
      <w:bookmarkStart w:id="0" w:name="_GoBack"/>
      <w:bookmarkEnd w:id="0"/>
    </w:p>
    <w:p w14:paraId="421E824B" w14:textId="77777777" w:rsidR="00DC4EBB" w:rsidRDefault="00DC4EBB" w:rsidP="00DC4EBB">
      <w:pPr>
        <w:pStyle w:val="BodyText3"/>
        <w:ind w:left="720"/>
        <w:rPr>
          <w:b w:val="0"/>
          <w:sz w:val="24"/>
          <w:u w:val="none"/>
        </w:rPr>
      </w:pPr>
    </w:p>
    <w:p w14:paraId="27794BEB" w14:textId="77777777" w:rsidR="00DC4EBB" w:rsidRDefault="00DC4EBB" w:rsidP="00DC4EBB">
      <w:pPr>
        <w:pStyle w:val="BodyText3"/>
        <w:rPr>
          <w:b w:val="0"/>
          <w:sz w:val="24"/>
          <w:u w:val="none"/>
        </w:rPr>
      </w:pPr>
    </w:p>
    <w:p w14:paraId="73623396" w14:textId="77777777" w:rsidR="00DC4EBB" w:rsidRDefault="00DC4EBB" w:rsidP="00DC4EBB">
      <w:pPr>
        <w:pStyle w:val="ListParagraph"/>
        <w:numPr>
          <w:ilvl w:val="0"/>
          <w:numId w:val="1"/>
        </w:numPr>
        <w:rPr>
          <w:b/>
          <w:sz w:val="28"/>
          <w:szCs w:val="28"/>
        </w:rPr>
      </w:pPr>
      <w:r>
        <w:rPr>
          <w:b/>
          <w:sz w:val="28"/>
          <w:szCs w:val="28"/>
        </w:rPr>
        <w:t xml:space="preserve"> Review of Decision to Offer Assistance</w:t>
      </w:r>
    </w:p>
    <w:p w14:paraId="1961EAB2" w14:textId="77777777" w:rsidR="00DC4EBB" w:rsidRDefault="00DC4EBB" w:rsidP="00DC4EBB">
      <w:pPr>
        <w:rPr>
          <w:sz w:val="28"/>
          <w:szCs w:val="28"/>
        </w:rPr>
      </w:pPr>
    </w:p>
    <w:p w14:paraId="5C75630A" w14:textId="77777777" w:rsidR="00DC4EBB" w:rsidRDefault="00DC4EBB" w:rsidP="00DC4EBB">
      <w:pPr>
        <w:ind w:left="360"/>
        <w:rPr>
          <w:sz w:val="28"/>
          <w:szCs w:val="28"/>
        </w:rPr>
      </w:pPr>
      <w:r>
        <w:rPr>
          <w:sz w:val="28"/>
          <w:szCs w:val="28"/>
        </w:rPr>
        <w:t>A Legal Funding Committee may at any stage review the decision to offer assistance; in particular a case will be reviewed when sufficient evidence is available to indicate whether or not the case enjoys a reasonable prospect of success; where information becomes available that impacts on the statutory grounds or discretionary factors; and/or when the case has been listed for hearing. A review of assistance may result in assistance being continued or discontinued.</w:t>
      </w:r>
    </w:p>
    <w:p w14:paraId="2F9C25D4" w14:textId="4CEC5CBF" w:rsidR="00DC4EBB" w:rsidRDefault="00DC4EBB" w:rsidP="00DC4EBB">
      <w:pPr>
        <w:rPr>
          <w:color w:val="5B9BD5" w:themeColor="accent1"/>
          <w:sz w:val="28"/>
          <w:szCs w:val="28"/>
        </w:rPr>
      </w:pPr>
    </w:p>
    <w:p w14:paraId="7CAB754A" w14:textId="77777777" w:rsidR="00403B99" w:rsidRDefault="00403B99" w:rsidP="00DC4EBB">
      <w:pPr>
        <w:rPr>
          <w:color w:val="5B9BD5" w:themeColor="accent1"/>
          <w:sz w:val="28"/>
          <w:szCs w:val="28"/>
        </w:rPr>
      </w:pPr>
    </w:p>
    <w:p w14:paraId="146408BD" w14:textId="77777777" w:rsidR="00DC4EBB" w:rsidRDefault="00DC4EBB" w:rsidP="00DC4EBB">
      <w:pPr>
        <w:pStyle w:val="ListParagraph"/>
        <w:numPr>
          <w:ilvl w:val="0"/>
          <w:numId w:val="1"/>
        </w:numPr>
        <w:rPr>
          <w:b/>
          <w:sz w:val="28"/>
          <w:szCs w:val="28"/>
        </w:rPr>
      </w:pPr>
      <w:r>
        <w:rPr>
          <w:b/>
          <w:sz w:val="28"/>
          <w:szCs w:val="28"/>
        </w:rPr>
        <w:t>Reconsideration of decision to refuse or withdraw  assistance</w:t>
      </w:r>
    </w:p>
    <w:p w14:paraId="5CB00284" w14:textId="77777777" w:rsidR="00DC4EBB" w:rsidRDefault="00DC4EBB" w:rsidP="00DC4EBB">
      <w:pPr>
        <w:rPr>
          <w:sz w:val="28"/>
          <w:szCs w:val="28"/>
        </w:rPr>
      </w:pPr>
    </w:p>
    <w:p w14:paraId="675D6335" w14:textId="74BA8C76" w:rsidR="00DC4EBB" w:rsidRPr="00D0224A" w:rsidRDefault="00DC4EBB" w:rsidP="00DC4EBB">
      <w:pPr>
        <w:ind w:left="360"/>
        <w:rPr>
          <w:color w:val="0070C0"/>
          <w:sz w:val="28"/>
          <w:szCs w:val="28"/>
        </w:rPr>
      </w:pPr>
      <w:r>
        <w:rPr>
          <w:sz w:val="28"/>
          <w:szCs w:val="28"/>
        </w:rPr>
        <w:t xml:space="preserve">A decision of a Legal Funding Committee not to grant assistance in the first instance; </w:t>
      </w:r>
      <w:r>
        <w:rPr>
          <w:b/>
          <w:sz w:val="28"/>
          <w:szCs w:val="28"/>
        </w:rPr>
        <w:t>or</w:t>
      </w:r>
      <w:r>
        <w:rPr>
          <w:sz w:val="28"/>
          <w:szCs w:val="28"/>
        </w:rPr>
        <w:t xml:space="preserve"> to withdraw from an assisted case may be </w:t>
      </w:r>
      <w:r w:rsidRPr="005A3AEB">
        <w:rPr>
          <w:sz w:val="28"/>
          <w:szCs w:val="28"/>
        </w:rPr>
        <w:t xml:space="preserve">reconsidered </w:t>
      </w:r>
      <w:r w:rsidR="00A350A6" w:rsidRPr="005A3AEB">
        <w:rPr>
          <w:sz w:val="28"/>
          <w:szCs w:val="28"/>
        </w:rPr>
        <w:t>where new information is presented to a Legal Funding Committee</w:t>
      </w:r>
      <w:r w:rsidR="00EB6ECF">
        <w:rPr>
          <w:sz w:val="28"/>
          <w:szCs w:val="28"/>
        </w:rPr>
        <w:t xml:space="preserve"> </w:t>
      </w:r>
      <w:r w:rsidR="00EB6ECF" w:rsidRPr="007676F2">
        <w:rPr>
          <w:sz w:val="28"/>
          <w:szCs w:val="28"/>
        </w:rPr>
        <w:t>or where there are exceptional circumstances or where the interests of justice require it</w:t>
      </w:r>
      <w:r w:rsidR="00A350A6" w:rsidRPr="005A3AEB">
        <w:rPr>
          <w:sz w:val="28"/>
          <w:szCs w:val="28"/>
        </w:rPr>
        <w:t xml:space="preserve">. The </w:t>
      </w:r>
      <w:r w:rsidR="00AE6776">
        <w:rPr>
          <w:sz w:val="28"/>
          <w:szCs w:val="28"/>
        </w:rPr>
        <w:t>C</w:t>
      </w:r>
      <w:r w:rsidR="00A350A6" w:rsidRPr="005A3AEB">
        <w:rPr>
          <w:sz w:val="28"/>
          <w:szCs w:val="28"/>
        </w:rPr>
        <w:t>ommittee will consider the relevance of the information</w:t>
      </w:r>
      <w:r w:rsidR="00D0224A" w:rsidRPr="005A3AEB">
        <w:rPr>
          <w:sz w:val="28"/>
          <w:szCs w:val="28"/>
        </w:rPr>
        <w:t>,</w:t>
      </w:r>
      <w:r w:rsidR="00A350A6" w:rsidRPr="005A3AEB">
        <w:rPr>
          <w:sz w:val="28"/>
          <w:szCs w:val="28"/>
        </w:rPr>
        <w:t xml:space="preserve"> to criteria for the grant of assistanc</w:t>
      </w:r>
      <w:r w:rsidR="00D0224A" w:rsidRPr="005A3AEB">
        <w:rPr>
          <w:sz w:val="28"/>
          <w:szCs w:val="28"/>
        </w:rPr>
        <w:t>e. The Committee may</w:t>
      </w:r>
      <w:r w:rsidR="00A350A6" w:rsidRPr="005A3AEB">
        <w:rPr>
          <w:sz w:val="28"/>
          <w:szCs w:val="28"/>
        </w:rPr>
        <w:t xml:space="preserve"> </w:t>
      </w:r>
      <w:r w:rsidR="00D0224A" w:rsidRPr="005A3AEB">
        <w:rPr>
          <w:sz w:val="28"/>
          <w:szCs w:val="28"/>
        </w:rPr>
        <w:t>either uphold or overturn the original decision to refuse/withdraw assistance</w:t>
      </w:r>
      <w:r w:rsidR="00DF470D">
        <w:rPr>
          <w:sz w:val="28"/>
          <w:szCs w:val="28"/>
        </w:rPr>
        <w:t>.</w:t>
      </w:r>
    </w:p>
    <w:p w14:paraId="04B3DF9E" w14:textId="77777777" w:rsidR="00DC4EBB" w:rsidRDefault="00DC4EBB" w:rsidP="00DC4EBB">
      <w:pPr>
        <w:rPr>
          <w:color w:val="5B9BD5" w:themeColor="accent1"/>
          <w:sz w:val="28"/>
          <w:szCs w:val="28"/>
        </w:rPr>
      </w:pPr>
    </w:p>
    <w:p w14:paraId="03967171" w14:textId="67864D62" w:rsidR="00DC4EBB" w:rsidRDefault="00DC4EBB" w:rsidP="00DC4EBB">
      <w:pPr>
        <w:pStyle w:val="ListParagraph"/>
        <w:numPr>
          <w:ilvl w:val="0"/>
          <w:numId w:val="1"/>
        </w:numPr>
        <w:rPr>
          <w:b/>
          <w:sz w:val="28"/>
          <w:szCs w:val="28"/>
        </w:rPr>
      </w:pPr>
      <w:r>
        <w:rPr>
          <w:b/>
          <w:sz w:val="28"/>
          <w:szCs w:val="28"/>
        </w:rPr>
        <w:t>Representation</w:t>
      </w:r>
    </w:p>
    <w:p w14:paraId="3D8AA2A4" w14:textId="77777777" w:rsidR="00DC4EBB" w:rsidRDefault="00DC4EBB" w:rsidP="00DC4EBB">
      <w:pPr>
        <w:rPr>
          <w:sz w:val="28"/>
          <w:szCs w:val="28"/>
        </w:rPr>
      </w:pPr>
    </w:p>
    <w:p w14:paraId="0A8E35F6" w14:textId="57678102" w:rsidR="00DC4EBB" w:rsidRDefault="00DC4EBB" w:rsidP="00DC4EBB">
      <w:pPr>
        <w:ind w:left="720"/>
        <w:rPr>
          <w:sz w:val="28"/>
          <w:szCs w:val="28"/>
        </w:rPr>
      </w:pPr>
      <w:r>
        <w:rPr>
          <w:sz w:val="28"/>
          <w:szCs w:val="28"/>
        </w:rPr>
        <w:t xml:space="preserve">Where assistance is granted pursuant to the provisions of paragraphs 6 to include representation before the Industrial Tribunal, Fair Employment Tribunal or County Court, such representation may be provided by staff of the Commission, </w:t>
      </w:r>
      <w:r w:rsidR="00047F7D">
        <w:rPr>
          <w:sz w:val="28"/>
          <w:szCs w:val="28"/>
        </w:rPr>
        <w:t xml:space="preserve">or </w:t>
      </w:r>
      <w:r>
        <w:rPr>
          <w:sz w:val="28"/>
          <w:szCs w:val="28"/>
        </w:rPr>
        <w:t>an a</w:t>
      </w:r>
      <w:r w:rsidR="003D72B6">
        <w:rPr>
          <w:sz w:val="28"/>
          <w:szCs w:val="28"/>
        </w:rPr>
        <w:t>ppointed external solicitor and/or</w:t>
      </w:r>
      <w:r>
        <w:rPr>
          <w:sz w:val="28"/>
          <w:szCs w:val="28"/>
        </w:rPr>
        <w:t xml:space="preserve"> by Counsel</w:t>
      </w:r>
      <w:r w:rsidR="003D72B6">
        <w:rPr>
          <w:sz w:val="28"/>
          <w:szCs w:val="28"/>
        </w:rPr>
        <w:t>, as appropriate</w:t>
      </w:r>
      <w:r>
        <w:rPr>
          <w:sz w:val="28"/>
          <w:szCs w:val="28"/>
        </w:rPr>
        <w:t>.</w:t>
      </w:r>
    </w:p>
    <w:p w14:paraId="0CB8E3AE" w14:textId="77777777" w:rsidR="00DC4EBB" w:rsidRDefault="00DC4EBB" w:rsidP="00DC4EBB">
      <w:pPr>
        <w:rPr>
          <w:sz w:val="28"/>
          <w:szCs w:val="28"/>
        </w:rPr>
      </w:pPr>
    </w:p>
    <w:p w14:paraId="2C033E5D" w14:textId="77777777" w:rsidR="00DC4EBB" w:rsidRDefault="00DC4EBB" w:rsidP="00DC4EBB">
      <w:pPr>
        <w:pStyle w:val="ListParagraph"/>
        <w:numPr>
          <w:ilvl w:val="0"/>
          <w:numId w:val="1"/>
        </w:numPr>
        <w:rPr>
          <w:b/>
          <w:sz w:val="28"/>
          <w:szCs w:val="28"/>
        </w:rPr>
      </w:pPr>
      <w:r>
        <w:rPr>
          <w:b/>
          <w:sz w:val="28"/>
          <w:szCs w:val="28"/>
        </w:rPr>
        <w:t>Assistance in Related Proceedings</w:t>
      </w:r>
    </w:p>
    <w:p w14:paraId="137C3973" w14:textId="77777777" w:rsidR="00DC4EBB" w:rsidRDefault="00DC4EBB" w:rsidP="00DC4EBB">
      <w:pPr>
        <w:rPr>
          <w:sz w:val="28"/>
          <w:szCs w:val="28"/>
        </w:rPr>
      </w:pPr>
    </w:p>
    <w:p w14:paraId="1FB4A514" w14:textId="7223BCA5" w:rsidR="00DC4EBB" w:rsidRDefault="00DC4EBB" w:rsidP="00DC4EBB">
      <w:pPr>
        <w:pStyle w:val="BodyText2"/>
        <w:ind w:left="720"/>
        <w:rPr>
          <w:szCs w:val="28"/>
        </w:rPr>
      </w:pPr>
      <w:r>
        <w:rPr>
          <w:szCs w:val="28"/>
        </w:rPr>
        <w:t xml:space="preserve">The grant of assistance covers assistance to the conclusion of proceedings, subject to review as set out above.  However, where a decision of a Tribunal or County Court is to </w:t>
      </w:r>
      <w:proofErr w:type="gramStart"/>
      <w:r>
        <w:rPr>
          <w:szCs w:val="28"/>
        </w:rPr>
        <w:t>be challenged</w:t>
      </w:r>
      <w:proofErr w:type="gramEnd"/>
      <w:r>
        <w:rPr>
          <w:szCs w:val="28"/>
        </w:rPr>
        <w:t xml:space="preserve"> on appeal in the High Court, Court of Appeal or the UK Supreme Court, </w:t>
      </w:r>
      <w:r w:rsidR="0080009F" w:rsidRPr="005A3AEB">
        <w:rPr>
          <w:szCs w:val="28"/>
        </w:rPr>
        <w:t xml:space="preserve">or an action commenced to enforce the terms of decision or settlement, then </w:t>
      </w:r>
      <w:r>
        <w:rPr>
          <w:szCs w:val="28"/>
        </w:rPr>
        <w:t>a fresh application for assistance must be submitted to the Committee.</w:t>
      </w:r>
    </w:p>
    <w:p w14:paraId="702DC1DC" w14:textId="77777777" w:rsidR="00DC4EBB" w:rsidRDefault="00DC4EBB" w:rsidP="00DC4EBB">
      <w:pPr>
        <w:rPr>
          <w:sz w:val="28"/>
          <w:szCs w:val="28"/>
        </w:rPr>
      </w:pPr>
    </w:p>
    <w:p w14:paraId="26730DB5" w14:textId="6008F01D" w:rsidR="00DC4EBB" w:rsidRDefault="00DC4EBB" w:rsidP="00DC4EBB">
      <w:pPr>
        <w:pStyle w:val="ListParagraph"/>
        <w:numPr>
          <w:ilvl w:val="0"/>
          <w:numId w:val="1"/>
        </w:numPr>
        <w:rPr>
          <w:sz w:val="28"/>
          <w:szCs w:val="28"/>
        </w:rPr>
      </w:pPr>
      <w:r>
        <w:rPr>
          <w:b/>
          <w:sz w:val="28"/>
          <w:szCs w:val="28"/>
        </w:rPr>
        <w:t>Conditions of Offer to Complainants</w:t>
      </w:r>
    </w:p>
    <w:p w14:paraId="26E1AB1A" w14:textId="77777777" w:rsidR="00DC4EBB" w:rsidRDefault="00DC4EBB" w:rsidP="00DC4EBB">
      <w:pPr>
        <w:rPr>
          <w:sz w:val="28"/>
          <w:szCs w:val="28"/>
        </w:rPr>
      </w:pPr>
    </w:p>
    <w:p w14:paraId="3A6DCFD3" w14:textId="1033F4F2" w:rsidR="00DC4EBB" w:rsidRDefault="00DC4EBB" w:rsidP="00DC4EBB">
      <w:pPr>
        <w:ind w:left="720"/>
        <w:rPr>
          <w:sz w:val="28"/>
          <w:szCs w:val="28"/>
        </w:rPr>
      </w:pPr>
      <w:r>
        <w:rPr>
          <w:sz w:val="28"/>
          <w:szCs w:val="28"/>
        </w:rPr>
        <w:t>This policy should be read in conjunction with the conditions of offer furnished to Applicants and, as appropriate, outside legal representatives.  Acceptance of an offer of assistance is acceptance of the Terms of Engagement under the Law Society Communications Regulation for the Equality Commission to act for an individual in legal proceedings</w:t>
      </w:r>
      <w:r w:rsidRPr="00146C34">
        <w:rPr>
          <w:color w:val="000000" w:themeColor="text1"/>
          <w:sz w:val="28"/>
          <w:szCs w:val="28"/>
        </w:rPr>
        <w:t>.</w:t>
      </w:r>
    </w:p>
    <w:p w14:paraId="21CAA127" w14:textId="77777777" w:rsidR="00DC4EBB" w:rsidRDefault="00DC4EBB" w:rsidP="00DC4EBB">
      <w:pPr>
        <w:rPr>
          <w:b/>
          <w:sz w:val="28"/>
          <w:szCs w:val="28"/>
        </w:rPr>
      </w:pPr>
    </w:p>
    <w:p w14:paraId="7595244A" w14:textId="77777777" w:rsidR="00DC4EBB" w:rsidRDefault="00DC4EBB" w:rsidP="00DC4EBB">
      <w:pPr>
        <w:rPr>
          <w:b/>
          <w:sz w:val="28"/>
          <w:szCs w:val="28"/>
        </w:rPr>
      </w:pPr>
    </w:p>
    <w:p w14:paraId="759E23E4" w14:textId="77777777" w:rsidR="00DC4EBB" w:rsidRDefault="00DC4EBB" w:rsidP="00DC4EBB">
      <w:pPr>
        <w:pStyle w:val="ListParagraph"/>
        <w:numPr>
          <w:ilvl w:val="0"/>
          <w:numId w:val="1"/>
        </w:numPr>
        <w:rPr>
          <w:b/>
          <w:sz w:val="28"/>
          <w:szCs w:val="28"/>
        </w:rPr>
      </w:pPr>
      <w:r>
        <w:rPr>
          <w:b/>
          <w:sz w:val="28"/>
          <w:szCs w:val="28"/>
        </w:rPr>
        <w:t>Publicity</w:t>
      </w:r>
    </w:p>
    <w:p w14:paraId="4ED3C927" w14:textId="77777777" w:rsidR="00DC4EBB" w:rsidRDefault="00DC4EBB" w:rsidP="00DC4EBB">
      <w:pPr>
        <w:rPr>
          <w:sz w:val="28"/>
          <w:szCs w:val="28"/>
        </w:rPr>
      </w:pPr>
    </w:p>
    <w:p w14:paraId="1C64ED46" w14:textId="5EE02F9F" w:rsidR="00403B99" w:rsidRDefault="00DC4EBB" w:rsidP="00DC4EBB">
      <w:pPr>
        <w:ind w:left="720"/>
        <w:rPr>
          <w:i/>
          <w:sz w:val="28"/>
          <w:szCs w:val="28"/>
        </w:rPr>
      </w:pPr>
      <w:r>
        <w:rPr>
          <w:sz w:val="28"/>
          <w:szCs w:val="28"/>
        </w:rPr>
        <w:t xml:space="preserve">The Commission will normally publicise decisions and settlements secured under its auspices with the aim of educating potential </w:t>
      </w:r>
      <w:r>
        <w:rPr>
          <w:sz w:val="28"/>
          <w:szCs w:val="28"/>
        </w:rPr>
        <w:lastRenderedPageBreak/>
        <w:t>applicants and respondents as to their respective rights and responsibilities.</w:t>
      </w:r>
    </w:p>
    <w:p w14:paraId="70BA7953" w14:textId="77777777" w:rsidR="00DC4EBB" w:rsidRDefault="00DC4EBB" w:rsidP="00DC4EBB">
      <w:pPr>
        <w:ind w:left="720"/>
        <w:rPr>
          <w:i/>
          <w:color w:val="FF0000"/>
          <w:sz w:val="28"/>
          <w:szCs w:val="28"/>
        </w:rPr>
      </w:pPr>
    </w:p>
    <w:p w14:paraId="3CCD4C54" w14:textId="77777777" w:rsidR="00DC4EBB" w:rsidRDefault="00DC4EBB" w:rsidP="00DC4EBB">
      <w:pPr>
        <w:pStyle w:val="ListParagraph"/>
        <w:numPr>
          <w:ilvl w:val="0"/>
          <w:numId w:val="1"/>
        </w:numPr>
        <w:rPr>
          <w:sz w:val="28"/>
          <w:szCs w:val="28"/>
        </w:rPr>
      </w:pPr>
      <w:r>
        <w:rPr>
          <w:b/>
          <w:sz w:val="28"/>
          <w:szCs w:val="28"/>
        </w:rPr>
        <w:t>Variation of Policy</w:t>
      </w:r>
    </w:p>
    <w:p w14:paraId="2AF61100" w14:textId="77777777" w:rsidR="00DC4EBB" w:rsidRDefault="00DC4EBB" w:rsidP="00DC4EBB">
      <w:pPr>
        <w:jc w:val="both"/>
        <w:rPr>
          <w:sz w:val="28"/>
          <w:szCs w:val="28"/>
        </w:rPr>
      </w:pPr>
    </w:p>
    <w:p w14:paraId="3CF708B6" w14:textId="598FD222" w:rsidR="00DC4EBB" w:rsidRDefault="00DC4EBB" w:rsidP="00DC4EBB">
      <w:pPr>
        <w:ind w:left="720"/>
        <w:jc w:val="both"/>
        <w:rPr>
          <w:sz w:val="28"/>
          <w:szCs w:val="28"/>
        </w:rPr>
      </w:pPr>
      <w:r>
        <w:rPr>
          <w:sz w:val="28"/>
          <w:szCs w:val="28"/>
        </w:rPr>
        <w:t>The Commission may, at any time and at its discretion, vary or amend this policy.</w:t>
      </w:r>
    </w:p>
    <w:p w14:paraId="6C16148B" w14:textId="77777777" w:rsidR="00DC4EBB" w:rsidRDefault="00DC4EBB" w:rsidP="00DC4EBB">
      <w:pPr>
        <w:ind w:left="720"/>
        <w:jc w:val="both"/>
        <w:rPr>
          <w:sz w:val="28"/>
          <w:szCs w:val="28"/>
        </w:rPr>
      </w:pPr>
    </w:p>
    <w:p w14:paraId="261EFDF3" w14:textId="77777777" w:rsidR="00DC4EBB" w:rsidRDefault="00DC4EBB" w:rsidP="00DC4EBB">
      <w:pPr>
        <w:ind w:left="720"/>
        <w:jc w:val="both"/>
        <w:rPr>
          <w:sz w:val="28"/>
          <w:szCs w:val="28"/>
        </w:rPr>
      </w:pPr>
      <w:r>
        <w:rPr>
          <w:sz w:val="28"/>
          <w:szCs w:val="28"/>
        </w:rPr>
        <w:t>The Commission will, as a service provider, comply with its statutory duty to make reasonable adjustments to this policy and its procedures and practices implementing this policy if any of these make it impossible or unreasonably difficult to make use of the Commission’s service.</w:t>
      </w:r>
    </w:p>
    <w:p w14:paraId="0E012B06" w14:textId="77777777" w:rsidR="00DC4EBB" w:rsidRDefault="00DC4EBB" w:rsidP="00DC4EBB">
      <w:pPr>
        <w:rPr>
          <w:b/>
          <w:sz w:val="28"/>
          <w:szCs w:val="28"/>
        </w:rPr>
      </w:pPr>
    </w:p>
    <w:p w14:paraId="5DDC2D31" w14:textId="77777777" w:rsidR="00DC4EBB" w:rsidRDefault="00DC4EBB" w:rsidP="00DC4EBB">
      <w:pPr>
        <w:ind w:left="720"/>
        <w:rPr>
          <w:b/>
          <w:sz w:val="28"/>
          <w:szCs w:val="28"/>
        </w:rPr>
      </w:pPr>
    </w:p>
    <w:p w14:paraId="62BE8A7D" w14:textId="77777777" w:rsidR="00DC4EBB" w:rsidRDefault="00DC4EBB" w:rsidP="00DC4EBB">
      <w:pPr>
        <w:ind w:left="6480"/>
        <w:rPr>
          <w:b/>
          <w:sz w:val="32"/>
          <w:szCs w:val="32"/>
        </w:rPr>
      </w:pPr>
      <w:r>
        <w:rPr>
          <w:b/>
          <w:sz w:val="32"/>
          <w:szCs w:val="32"/>
        </w:rPr>
        <w:t>Appendix 1</w:t>
      </w:r>
    </w:p>
    <w:p w14:paraId="42D3C782" w14:textId="77777777" w:rsidR="00DC4EBB" w:rsidRDefault="00DC4EBB" w:rsidP="00DC4EBB">
      <w:pPr>
        <w:rPr>
          <w:sz w:val="28"/>
          <w:szCs w:val="28"/>
        </w:rPr>
      </w:pPr>
    </w:p>
    <w:p w14:paraId="5199A7DB" w14:textId="77777777" w:rsidR="00DC4EBB" w:rsidRDefault="00DC4EBB" w:rsidP="00DC4EBB">
      <w:pPr>
        <w:rPr>
          <w:sz w:val="28"/>
          <w:szCs w:val="28"/>
        </w:rPr>
      </w:pPr>
      <w:r>
        <w:rPr>
          <w:sz w:val="28"/>
          <w:szCs w:val="28"/>
        </w:rPr>
        <w:t>Disability Discrimination Act (Amendment) Regulations (Northern Ireland) 2004</w:t>
      </w:r>
    </w:p>
    <w:p w14:paraId="0EC97067" w14:textId="77777777" w:rsidR="00DC4EBB" w:rsidRDefault="00DC4EBB" w:rsidP="00DC4EBB">
      <w:pPr>
        <w:rPr>
          <w:sz w:val="28"/>
          <w:szCs w:val="28"/>
        </w:rPr>
      </w:pPr>
    </w:p>
    <w:p w14:paraId="60E9CBD9" w14:textId="77777777" w:rsidR="00DC4EBB" w:rsidRDefault="00DC4EBB" w:rsidP="00DC4EBB">
      <w:pPr>
        <w:rPr>
          <w:sz w:val="28"/>
          <w:szCs w:val="28"/>
        </w:rPr>
      </w:pPr>
      <w:r>
        <w:rPr>
          <w:sz w:val="28"/>
          <w:szCs w:val="28"/>
        </w:rPr>
        <w:t>Equality Act (Sexual Orientation) Regulations (NI) 2006</w:t>
      </w:r>
    </w:p>
    <w:p w14:paraId="043E3906" w14:textId="77777777" w:rsidR="00DC4EBB" w:rsidRDefault="00DC4EBB" w:rsidP="00DC4EBB">
      <w:pPr>
        <w:rPr>
          <w:sz w:val="28"/>
          <w:szCs w:val="28"/>
        </w:rPr>
      </w:pPr>
    </w:p>
    <w:p w14:paraId="621E51F3" w14:textId="77777777" w:rsidR="00DC4EBB" w:rsidRDefault="00DC4EBB" w:rsidP="00DC4EBB">
      <w:pPr>
        <w:rPr>
          <w:sz w:val="28"/>
          <w:szCs w:val="28"/>
        </w:rPr>
      </w:pPr>
      <w:r>
        <w:rPr>
          <w:sz w:val="28"/>
          <w:szCs w:val="28"/>
        </w:rPr>
        <w:t>Employment Equality (Age) Regulations (Northern Ireland) 2006</w:t>
      </w:r>
    </w:p>
    <w:p w14:paraId="403ACF03" w14:textId="77777777" w:rsidR="00DC4EBB" w:rsidRDefault="00DC4EBB" w:rsidP="00DC4EBB">
      <w:pPr>
        <w:rPr>
          <w:sz w:val="28"/>
          <w:szCs w:val="28"/>
        </w:rPr>
      </w:pPr>
    </w:p>
    <w:p w14:paraId="2B2489F9" w14:textId="77777777" w:rsidR="00DC4EBB" w:rsidRDefault="00DC4EBB" w:rsidP="00DC4EBB">
      <w:pPr>
        <w:rPr>
          <w:sz w:val="28"/>
          <w:szCs w:val="28"/>
        </w:rPr>
      </w:pPr>
      <w:r>
        <w:rPr>
          <w:sz w:val="28"/>
          <w:szCs w:val="28"/>
        </w:rPr>
        <w:t>Employment Equality (Sexual Orientation) Regulations (Northern Ireland) 2003;</w:t>
      </w:r>
    </w:p>
    <w:p w14:paraId="33CDCDCE" w14:textId="77777777" w:rsidR="00DC4EBB" w:rsidRDefault="00DC4EBB" w:rsidP="00DC4EBB">
      <w:pPr>
        <w:rPr>
          <w:sz w:val="28"/>
          <w:szCs w:val="28"/>
        </w:rPr>
      </w:pPr>
    </w:p>
    <w:p w14:paraId="795D2216" w14:textId="536D772E" w:rsidR="00DC4EBB" w:rsidRDefault="00DC4EBB" w:rsidP="00DC4EBB">
      <w:pPr>
        <w:rPr>
          <w:sz w:val="28"/>
          <w:szCs w:val="28"/>
        </w:rPr>
      </w:pPr>
      <w:r>
        <w:rPr>
          <w:sz w:val="28"/>
          <w:szCs w:val="28"/>
        </w:rPr>
        <w:t>Equality (Disability etc) (Northern Ireland) Order 2000</w:t>
      </w:r>
    </w:p>
    <w:p w14:paraId="04F1A66C" w14:textId="77777777" w:rsidR="00DC4EBB" w:rsidRDefault="00DC4EBB" w:rsidP="00DC4EBB">
      <w:pPr>
        <w:rPr>
          <w:sz w:val="28"/>
          <w:szCs w:val="28"/>
        </w:rPr>
      </w:pPr>
    </w:p>
    <w:p w14:paraId="458A3D99" w14:textId="298203DB" w:rsidR="00DC4EBB" w:rsidRDefault="00DC4EBB" w:rsidP="00DC4EBB">
      <w:pPr>
        <w:rPr>
          <w:sz w:val="28"/>
          <w:szCs w:val="28"/>
        </w:rPr>
      </w:pPr>
      <w:r>
        <w:rPr>
          <w:sz w:val="28"/>
          <w:szCs w:val="28"/>
        </w:rPr>
        <w:t>Fair Employment and Treatment (Northern Ireland) Order 1998, as amended</w:t>
      </w:r>
    </w:p>
    <w:p w14:paraId="6369F18B" w14:textId="77777777" w:rsidR="00DC4EBB" w:rsidRDefault="00DC4EBB" w:rsidP="00DC4EBB">
      <w:pPr>
        <w:rPr>
          <w:sz w:val="28"/>
          <w:szCs w:val="28"/>
        </w:rPr>
      </w:pPr>
    </w:p>
    <w:p w14:paraId="72644EF7" w14:textId="7BDAA625" w:rsidR="00DC4EBB" w:rsidRDefault="00DC4EBB" w:rsidP="00DC4EBB">
      <w:pPr>
        <w:rPr>
          <w:sz w:val="28"/>
          <w:szCs w:val="28"/>
        </w:rPr>
      </w:pPr>
      <w:r>
        <w:rPr>
          <w:sz w:val="28"/>
          <w:szCs w:val="28"/>
        </w:rPr>
        <w:t>Race Relations (Northern Ireland) Order 1997, as amended</w:t>
      </w:r>
    </w:p>
    <w:p w14:paraId="0D364209" w14:textId="77777777" w:rsidR="00DC4EBB" w:rsidRDefault="00DC4EBB" w:rsidP="00DC4EBB">
      <w:pPr>
        <w:ind w:left="1080"/>
        <w:rPr>
          <w:sz w:val="28"/>
          <w:szCs w:val="28"/>
        </w:rPr>
      </w:pPr>
    </w:p>
    <w:p w14:paraId="759000C0" w14:textId="0E24E57C" w:rsidR="00DC4EBB" w:rsidRDefault="00DC4EBB" w:rsidP="00DC4EBB">
      <w:pPr>
        <w:rPr>
          <w:sz w:val="28"/>
          <w:szCs w:val="28"/>
        </w:rPr>
      </w:pPr>
      <w:r>
        <w:rPr>
          <w:sz w:val="28"/>
          <w:szCs w:val="28"/>
        </w:rPr>
        <w:t>Sex Discrimination (Northern Ireland) Order 1976, as amended</w:t>
      </w:r>
    </w:p>
    <w:p w14:paraId="3079A968" w14:textId="77777777" w:rsidR="00DC4EBB" w:rsidRDefault="00DC4EBB" w:rsidP="00DC4EBB">
      <w:pPr>
        <w:ind w:left="720"/>
        <w:jc w:val="both"/>
        <w:rPr>
          <w:color w:val="FF0000"/>
          <w:sz w:val="28"/>
          <w:szCs w:val="28"/>
        </w:rPr>
      </w:pPr>
    </w:p>
    <w:p w14:paraId="4664C4BC" w14:textId="20FE3615" w:rsidR="00DC4EBB" w:rsidRDefault="00DC4EBB" w:rsidP="00DC4EBB">
      <w:pPr>
        <w:rPr>
          <w:sz w:val="28"/>
          <w:szCs w:val="28"/>
        </w:rPr>
      </w:pPr>
      <w:r>
        <w:rPr>
          <w:sz w:val="28"/>
          <w:szCs w:val="28"/>
        </w:rPr>
        <w:t>Special Educational Needs and Disability (Northern Ireland) Order 2005</w:t>
      </w:r>
    </w:p>
    <w:p w14:paraId="22DC44DA" w14:textId="77777777" w:rsidR="00DC4EBB" w:rsidRDefault="00DC4EBB" w:rsidP="00DC4EBB">
      <w:pPr>
        <w:rPr>
          <w:b/>
          <w:color w:val="FF0000"/>
          <w:sz w:val="28"/>
          <w:szCs w:val="28"/>
        </w:rPr>
      </w:pPr>
    </w:p>
    <w:p w14:paraId="774A2FE4" w14:textId="77777777" w:rsidR="00DC4EBB" w:rsidRDefault="00DC4EBB" w:rsidP="00DC4EBB"/>
    <w:p w14:paraId="741C2FB7" w14:textId="77777777" w:rsidR="00BA15C1" w:rsidRDefault="00AD66D6"/>
    <w:sectPr w:rsidR="00BA15C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293A1" w14:textId="77777777" w:rsidR="00CB2D26" w:rsidRDefault="00CB2D26">
      <w:r>
        <w:separator/>
      </w:r>
    </w:p>
  </w:endnote>
  <w:endnote w:type="continuationSeparator" w:id="0">
    <w:p w14:paraId="32576204" w14:textId="77777777" w:rsidR="00CB2D26" w:rsidRDefault="00CB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24C76" w14:textId="77777777" w:rsidR="004C5682" w:rsidRDefault="004C5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C027D" w14:textId="7F161C4F" w:rsidR="008C2F5F" w:rsidRPr="008C2F5F" w:rsidRDefault="00A46344">
    <w:pPr>
      <w:pStyle w:val="Footer"/>
      <w:rPr>
        <w:i/>
      </w:rPr>
    </w:pPr>
    <w:r>
      <w:rPr>
        <w:i/>
      </w:rPr>
      <w:t xml:space="preserve">CONSULTATION DRAFT </w:t>
    </w:r>
    <w:r w:rsidR="00DC4EBB" w:rsidRPr="008C2F5F">
      <w:rPr>
        <w:i/>
      </w:rPr>
      <w:t>Policy for the Provision of Legal Advice and Assistance</w:t>
    </w:r>
    <w:r w:rsidR="00DC4EBB">
      <w:rPr>
        <w:i/>
      </w:rPr>
      <w:t xml:space="preserve"> </w:t>
    </w:r>
    <w:r w:rsidR="00AE6776">
      <w:rPr>
        <w:i/>
      </w:rPr>
      <w:t>June 2021</w:t>
    </w:r>
  </w:p>
  <w:p w14:paraId="412868F3" w14:textId="77777777" w:rsidR="008C2F5F" w:rsidRDefault="00AD6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E7518" w14:textId="77777777" w:rsidR="004C5682" w:rsidRDefault="004C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990DA" w14:textId="77777777" w:rsidR="00CB2D26" w:rsidRDefault="00CB2D26">
      <w:r>
        <w:separator/>
      </w:r>
    </w:p>
  </w:footnote>
  <w:footnote w:type="continuationSeparator" w:id="0">
    <w:p w14:paraId="44631BFA" w14:textId="77777777" w:rsidR="00CB2D26" w:rsidRDefault="00CB2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4ACD" w14:textId="77777777" w:rsidR="004C5682" w:rsidRDefault="004C5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3AA25" w14:textId="77777777" w:rsidR="004C5682" w:rsidRDefault="004C5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8F4E0" w14:textId="77777777" w:rsidR="004C5682" w:rsidRDefault="004C5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0234A"/>
    <w:multiLevelType w:val="hybridMultilevel"/>
    <w:tmpl w:val="463486EE"/>
    <w:lvl w:ilvl="0" w:tplc="04090017">
      <w:start w:val="1"/>
      <w:numFmt w:val="lowerLetter"/>
      <w:lvlText w:val="%1)"/>
      <w:lvlJc w:val="left"/>
      <w:pPr>
        <w:ind w:left="1498" w:hanging="720"/>
      </w:pPr>
      <w:rPr>
        <w:color w:val="auto"/>
      </w:rPr>
    </w:lvl>
    <w:lvl w:ilvl="1" w:tplc="04090019">
      <w:start w:val="1"/>
      <w:numFmt w:val="lowerLetter"/>
      <w:lvlText w:val="%2."/>
      <w:lvlJc w:val="left"/>
      <w:pPr>
        <w:ind w:left="1858" w:hanging="360"/>
      </w:pPr>
    </w:lvl>
    <w:lvl w:ilvl="2" w:tplc="0409001B">
      <w:start w:val="1"/>
      <w:numFmt w:val="lowerRoman"/>
      <w:lvlText w:val="%3."/>
      <w:lvlJc w:val="right"/>
      <w:pPr>
        <w:ind w:left="2578" w:hanging="180"/>
      </w:pPr>
    </w:lvl>
    <w:lvl w:ilvl="3" w:tplc="0409000F">
      <w:start w:val="1"/>
      <w:numFmt w:val="decimal"/>
      <w:lvlText w:val="%4."/>
      <w:lvlJc w:val="left"/>
      <w:pPr>
        <w:ind w:left="3298" w:hanging="360"/>
      </w:pPr>
    </w:lvl>
    <w:lvl w:ilvl="4" w:tplc="04090019">
      <w:start w:val="1"/>
      <w:numFmt w:val="lowerLetter"/>
      <w:lvlText w:val="%5."/>
      <w:lvlJc w:val="left"/>
      <w:pPr>
        <w:ind w:left="4018" w:hanging="360"/>
      </w:pPr>
    </w:lvl>
    <w:lvl w:ilvl="5" w:tplc="0409001B">
      <w:start w:val="1"/>
      <w:numFmt w:val="lowerRoman"/>
      <w:lvlText w:val="%6."/>
      <w:lvlJc w:val="right"/>
      <w:pPr>
        <w:ind w:left="4738" w:hanging="180"/>
      </w:pPr>
    </w:lvl>
    <w:lvl w:ilvl="6" w:tplc="0409000F">
      <w:start w:val="1"/>
      <w:numFmt w:val="decimal"/>
      <w:lvlText w:val="%7."/>
      <w:lvlJc w:val="left"/>
      <w:pPr>
        <w:ind w:left="5458" w:hanging="360"/>
      </w:pPr>
    </w:lvl>
    <w:lvl w:ilvl="7" w:tplc="04090019">
      <w:start w:val="1"/>
      <w:numFmt w:val="lowerLetter"/>
      <w:lvlText w:val="%8."/>
      <w:lvlJc w:val="left"/>
      <w:pPr>
        <w:ind w:left="6178" w:hanging="360"/>
      </w:pPr>
    </w:lvl>
    <w:lvl w:ilvl="8" w:tplc="0409001B">
      <w:start w:val="1"/>
      <w:numFmt w:val="lowerRoman"/>
      <w:lvlText w:val="%9."/>
      <w:lvlJc w:val="right"/>
      <w:pPr>
        <w:ind w:left="6898" w:hanging="180"/>
      </w:pPr>
    </w:lvl>
  </w:abstractNum>
  <w:abstractNum w:abstractNumId="1" w15:restartNumberingAfterBreak="0">
    <w:nsid w:val="63DA6EBA"/>
    <w:multiLevelType w:val="multilevel"/>
    <w:tmpl w:val="2056FE12"/>
    <w:lvl w:ilvl="0">
      <w:start w:val="1"/>
      <w:numFmt w:val="decimal"/>
      <w:lvlText w:val="%1."/>
      <w:lvlJc w:val="left"/>
      <w:pPr>
        <w:ind w:left="360" w:hanging="360"/>
      </w:pPr>
      <w:rPr>
        <w:b/>
      </w:rPr>
    </w:lvl>
    <w:lvl w:ilvl="1">
      <w:start w:val="1"/>
      <w:numFmt w:val="decimal"/>
      <w:isLgl/>
      <w:lvlText w:val="%1.%2"/>
      <w:lvlJc w:val="left"/>
      <w:pPr>
        <w:ind w:left="720" w:hanging="720"/>
      </w:pPr>
      <w:rPr>
        <w:color w:val="auto"/>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 w15:restartNumberingAfterBreak="0">
    <w:nsid w:val="69AA6B69"/>
    <w:multiLevelType w:val="singleLevel"/>
    <w:tmpl w:val="08090001"/>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7D1974FE"/>
    <w:multiLevelType w:val="hybridMultilevel"/>
    <w:tmpl w:val="A2C00732"/>
    <w:lvl w:ilvl="0" w:tplc="7F5ED1C6">
      <w:start w:val="1"/>
      <w:numFmt w:val="lowerLetter"/>
      <w:lvlText w:val="%1."/>
      <w:lvlJc w:val="left"/>
      <w:pPr>
        <w:ind w:left="1494"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BB"/>
    <w:rsid w:val="0001579D"/>
    <w:rsid w:val="00030588"/>
    <w:rsid w:val="00047F7D"/>
    <w:rsid w:val="000768D6"/>
    <w:rsid w:val="000F416D"/>
    <w:rsid w:val="001078F8"/>
    <w:rsid w:val="00146C34"/>
    <w:rsid w:val="0018364E"/>
    <w:rsid w:val="00191209"/>
    <w:rsid w:val="001B62BF"/>
    <w:rsid w:val="001F3FFB"/>
    <w:rsid w:val="002139EE"/>
    <w:rsid w:val="00227475"/>
    <w:rsid w:val="0025477D"/>
    <w:rsid w:val="00263BA2"/>
    <w:rsid w:val="002B434C"/>
    <w:rsid w:val="002C0E5D"/>
    <w:rsid w:val="002C7062"/>
    <w:rsid w:val="00324C35"/>
    <w:rsid w:val="00334E14"/>
    <w:rsid w:val="00345DB9"/>
    <w:rsid w:val="00392C68"/>
    <w:rsid w:val="003D72B6"/>
    <w:rsid w:val="00403B99"/>
    <w:rsid w:val="004C5682"/>
    <w:rsid w:val="005A3AEB"/>
    <w:rsid w:val="005C4377"/>
    <w:rsid w:val="005C45D7"/>
    <w:rsid w:val="005F319D"/>
    <w:rsid w:val="0063286D"/>
    <w:rsid w:val="00684BEF"/>
    <w:rsid w:val="006C4FA3"/>
    <w:rsid w:val="00701319"/>
    <w:rsid w:val="007038E6"/>
    <w:rsid w:val="00753FF5"/>
    <w:rsid w:val="00766AE8"/>
    <w:rsid w:val="007676F2"/>
    <w:rsid w:val="007B1B54"/>
    <w:rsid w:val="007B5C8C"/>
    <w:rsid w:val="0080009F"/>
    <w:rsid w:val="00840552"/>
    <w:rsid w:val="00881B86"/>
    <w:rsid w:val="00883807"/>
    <w:rsid w:val="008E4570"/>
    <w:rsid w:val="00981674"/>
    <w:rsid w:val="00990218"/>
    <w:rsid w:val="00A04E94"/>
    <w:rsid w:val="00A350A6"/>
    <w:rsid w:val="00A46344"/>
    <w:rsid w:val="00AC3911"/>
    <w:rsid w:val="00AD66D6"/>
    <w:rsid w:val="00AE6776"/>
    <w:rsid w:val="00B16A68"/>
    <w:rsid w:val="00B3041B"/>
    <w:rsid w:val="00BF470F"/>
    <w:rsid w:val="00C57AFE"/>
    <w:rsid w:val="00CA6209"/>
    <w:rsid w:val="00CB2D26"/>
    <w:rsid w:val="00D0224A"/>
    <w:rsid w:val="00D052E8"/>
    <w:rsid w:val="00D20E27"/>
    <w:rsid w:val="00D94CE8"/>
    <w:rsid w:val="00DC4EBB"/>
    <w:rsid w:val="00DD3B80"/>
    <w:rsid w:val="00DF470D"/>
    <w:rsid w:val="00E651A7"/>
    <w:rsid w:val="00EB6ECF"/>
    <w:rsid w:val="00EC04CE"/>
    <w:rsid w:val="00EF447E"/>
    <w:rsid w:val="00F216AA"/>
    <w:rsid w:val="00F658F0"/>
    <w:rsid w:val="00F6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73A05183"/>
  <w15:chartTrackingRefBased/>
  <w15:docId w15:val="{8D5086ED-63D3-4C3E-AB03-3110D176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BB"/>
    <w:pPr>
      <w:spacing w:after="0" w:line="240" w:lineRule="auto"/>
    </w:pPr>
    <w:rPr>
      <w:rFonts w:ascii="Arial" w:eastAsia="Times New Roman" w:hAnsi="Arial" w:cs="Times New Roman"/>
      <w:sz w:val="24"/>
      <w:szCs w:val="20"/>
      <w:lang w:val="en-US" w:eastAsia="en-GB"/>
    </w:rPr>
  </w:style>
  <w:style w:type="paragraph" w:styleId="Heading1">
    <w:name w:val="heading 1"/>
    <w:basedOn w:val="Normal"/>
    <w:next w:val="Normal"/>
    <w:link w:val="Heading1Char"/>
    <w:qFormat/>
    <w:rsid w:val="00DC4EBB"/>
    <w:pPr>
      <w:keepNext/>
      <w:outlineLvl w:val="0"/>
    </w:pPr>
    <w:rPr>
      <w:sz w:val="28"/>
      <w:lang w:val="en-GB"/>
    </w:rPr>
  </w:style>
  <w:style w:type="paragraph" w:styleId="Heading2">
    <w:name w:val="heading 2"/>
    <w:basedOn w:val="Normal"/>
    <w:next w:val="Normal"/>
    <w:link w:val="Heading2Char"/>
    <w:unhideWhenUsed/>
    <w:qFormat/>
    <w:rsid w:val="00DC4EBB"/>
    <w:pPr>
      <w:keepNext/>
      <w:outlineLvl w:val="1"/>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EBB"/>
    <w:rPr>
      <w:rFonts w:ascii="Arial" w:eastAsia="Times New Roman" w:hAnsi="Arial" w:cs="Times New Roman"/>
      <w:sz w:val="28"/>
      <w:szCs w:val="20"/>
      <w:lang w:eastAsia="en-GB"/>
    </w:rPr>
  </w:style>
  <w:style w:type="character" w:customStyle="1" w:styleId="Heading2Char">
    <w:name w:val="Heading 2 Char"/>
    <w:basedOn w:val="DefaultParagraphFont"/>
    <w:link w:val="Heading2"/>
    <w:rsid w:val="00DC4EBB"/>
    <w:rPr>
      <w:rFonts w:ascii="Arial" w:eastAsia="Times New Roman" w:hAnsi="Arial" w:cs="Times New Roman"/>
      <w:sz w:val="28"/>
      <w:szCs w:val="20"/>
      <w:lang w:eastAsia="en-GB"/>
    </w:rPr>
  </w:style>
  <w:style w:type="paragraph" w:styleId="BodyText">
    <w:name w:val="Body Text"/>
    <w:basedOn w:val="Normal"/>
    <w:link w:val="BodyTextChar"/>
    <w:semiHidden/>
    <w:unhideWhenUsed/>
    <w:rsid w:val="00DC4EBB"/>
    <w:pPr>
      <w:jc w:val="center"/>
    </w:pPr>
    <w:rPr>
      <w:sz w:val="28"/>
      <w:lang w:val="en-GB"/>
    </w:rPr>
  </w:style>
  <w:style w:type="character" w:customStyle="1" w:styleId="BodyTextChar">
    <w:name w:val="Body Text Char"/>
    <w:basedOn w:val="DefaultParagraphFont"/>
    <w:link w:val="BodyText"/>
    <w:semiHidden/>
    <w:rsid w:val="00DC4EBB"/>
    <w:rPr>
      <w:rFonts w:ascii="Arial" w:eastAsia="Times New Roman" w:hAnsi="Arial" w:cs="Times New Roman"/>
      <w:sz w:val="28"/>
      <w:szCs w:val="20"/>
      <w:lang w:eastAsia="en-GB"/>
    </w:rPr>
  </w:style>
  <w:style w:type="paragraph" w:styleId="BodyTextIndent">
    <w:name w:val="Body Text Indent"/>
    <w:basedOn w:val="Normal"/>
    <w:link w:val="BodyTextIndentChar"/>
    <w:semiHidden/>
    <w:unhideWhenUsed/>
    <w:rsid w:val="00DC4EBB"/>
    <w:pPr>
      <w:ind w:left="1440" w:hanging="720"/>
    </w:pPr>
  </w:style>
  <w:style w:type="character" w:customStyle="1" w:styleId="BodyTextIndentChar">
    <w:name w:val="Body Text Indent Char"/>
    <w:basedOn w:val="DefaultParagraphFont"/>
    <w:link w:val="BodyTextIndent"/>
    <w:semiHidden/>
    <w:rsid w:val="00DC4EBB"/>
    <w:rPr>
      <w:rFonts w:ascii="Arial" w:eastAsia="Times New Roman" w:hAnsi="Arial" w:cs="Times New Roman"/>
      <w:sz w:val="24"/>
      <w:szCs w:val="20"/>
      <w:lang w:val="en-US" w:eastAsia="en-GB"/>
    </w:rPr>
  </w:style>
  <w:style w:type="paragraph" w:styleId="BodyText2">
    <w:name w:val="Body Text 2"/>
    <w:basedOn w:val="Normal"/>
    <w:link w:val="BodyText2Char"/>
    <w:semiHidden/>
    <w:unhideWhenUsed/>
    <w:rsid w:val="00DC4EBB"/>
    <w:rPr>
      <w:sz w:val="28"/>
      <w:lang w:val="en-GB"/>
    </w:rPr>
  </w:style>
  <w:style w:type="character" w:customStyle="1" w:styleId="BodyText2Char">
    <w:name w:val="Body Text 2 Char"/>
    <w:basedOn w:val="DefaultParagraphFont"/>
    <w:link w:val="BodyText2"/>
    <w:semiHidden/>
    <w:rsid w:val="00DC4EBB"/>
    <w:rPr>
      <w:rFonts w:ascii="Arial" w:eastAsia="Times New Roman" w:hAnsi="Arial" w:cs="Times New Roman"/>
      <w:sz w:val="28"/>
      <w:szCs w:val="20"/>
      <w:lang w:eastAsia="en-GB"/>
    </w:rPr>
  </w:style>
  <w:style w:type="paragraph" w:styleId="BodyText3">
    <w:name w:val="Body Text 3"/>
    <w:basedOn w:val="Normal"/>
    <w:link w:val="BodyText3Char"/>
    <w:semiHidden/>
    <w:unhideWhenUsed/>
    <w:rsid w:val="00DC4EBB"/>
    <w:rPr>
      <w:b/>
      <w:sz w:val="28"/>
      <w:u w:val="single"/>
      <w:lang w:val="en-GB"/>
    </w:rPr>
  </w:style>
  <w:style w:type="character" w:customStyle="1" w:styleId="BodyText3Char">
    <w:name w:val="Body Text 3 Char"/>
    <w:basedOn w:val="DefaultParagraphFont"/>
    <w:link w:val="BodyText3"/>
    <w:semiHidden/>
    <w:rsid w:val="00DC4EBB"/>
    <w:rPr>
      <w:rFonts w:ascii="Arial" w:eastAsia="Times New Roman" w:hAnsi="Arial" w:cs="Times New Roman"/>
      <w:b/>
      <w:sz w:val="28"/>
      <w:szCs w:val="20"/>
      <w:u w:val="single"/>
      <w:lang w:eastAsia="en-GB"/>
    </w:rPr>
  </w:style>
  <w:style w:type="paragraph" w:styleId="BodyTextIndent2">
    <w:name w:val="Body Text Indent 2"/>
    <w:basedOn w:val="Normal"/>
    <w:link w:val="BodyTextIndent2Char"/>
    <w:semiHidden/>
    <w:unhideWhenUsed/>
    <w:rsid w:val="00DC4EBB"/>
    <w:pPr>
      <w:ind w:left="720"/>
    </w:pPr>
    <w:rPr>
      <w:lang w:val="en-GB"/>
    </w:rPr>
  </w:style>
  <w:style w:type="character" w:customStyle="1" w:styleId="BodyTextIndent2Char">
    <w:name w:val="Body Text Indent 2 Char"/>
    <w:basedOn w:val="DefaultParagraphFont"/>
    <w:link w:val="BodyTextIndent2"/>
    <w:semiHidden/>
    <w:rsid w:val="00DC4EBB"/>
    <w:rPr>
      <w:rFonts w:ascii="Arial" w:eastAsia="Times New Roman" w:hAnsi="Arial" w:cs="Times New Roman"/>
      <w:sz w:val="24"/>
      <w:szCs w:val="20"/>
      <w:lang w:eastAsia="en-GB"/>
    </w:rPr>
  </w:style>
  <w:style w:type="paragraph" w:styleId="ListParagraph">
    <w:name w:val="List Paragraph"/>
    <w:basedOn w:val="Normal"/>
    <w:uiPriority w:val="34"/>
    <w:qFormat/>
    <w:rsid w:val="00DC4EBB"/>
    <w:pPr>
      <w:ind w:left="720"/>
      <w:contextualSpacing/>
    </w:pPr>
  </w:style>
  <w:style w:type="paragraph" w:styleId="Footer">
    <w:name w:val="footer"/>
    <w:basedOn w:val="Normal"/>
    <w:link w:val="FooterChar"/>
    <w:uiPriority w:val="99"/>
    <w:unhideWhenUsed/>
    <w:rsid w:val="00DC4EBB"/>
    <w:pPr>
      <w:tabs>
        <w:tab w:val="center" w:pos="4513"/>
        <w:tab w:val="right" w:pos="9026"/>
      </w:tabs>
    </w:pPr>
  </w:style>
  <w:style w:type="character" w:customStyle="1" w:styleId="FooterChar">
    <w:name w:val="Footer Char"/>
    <w:basedOn w:val="DefaultParagraphFont"/>
    <w:link w:val="Footer"/>
    <w:uiPriority w:val="99"/>
    <w:rsid w:val="00DC4EBB"/>
    <w:rPr>
      <w:rFonts w:ascii="Arial" w:eastAsia="Times New Roman" w:hAnsi="Arial" w:cs="Times New Roman"/>
      <w:sz w:val="24"/>
      <w:szCs w:val="20"/>
      <w:lang w:val="en-US" w:eastAsia="en-GB"/>
    </w:rPr>
  </w:style>
  <w:style w:type="paragraph" w:styleId="Header">
    <w:name w:val="header"/>
    <w:basedOn w:val="Normal"/>
    <w:link w:val="HeaderChar"/>
    <w:uiPriority w:val="99"/>
    <w:unhideWhenUsed/>
    <w:rsid w:val="00263BA2"/>
    <w:pPr>
      <w:tabs>
        <w:tab w:val="center" w:pos="4513"/>
        <w:tab w:val="right" w:pos="9026"/>
      </w:tabs>
    </w:pPr>
  </w:style>
  <w:style w:type="character" w:customStyle="1" w:styleId="HeaderChar">
    <w:name w:val="Header Char"/>
    <w:basedOn w:val="DefaultParagraphFont"/>
    <w:link w:val="Header"/>
    <w:uiPriority w:val="99"/>
    <w:rsid w:val="00263BA2"/>
    <w:rPr>
      <w:rFonts w:ascii="Arial" w:eastAsia="Times New Roman" w:hAnsi="Arial" w:cs="Times New Roman"/>
      <w:sz w:val="24"/>
      <w:szCs w:val="20"/>
      <w:lang w:val="en-US" w:eastAsia="en-GB"/>
    </w:rPr>
  </w:style>
  <w:style w:type="character" w:styleId="CommentReference">
    <w:name w:val="annotation reference"/>
    <w:basedOn w:val="DefaultParagraphFont"/>
    <w:uiPriority w:val="99"/>
    <w:semiHidden/>
    <w:unhideWhenUsed/>
    <w:rsid w:val="00030588"/>
    <w:rPr>
      <w:sz w:val="16"/>
      <w:szCs w:val="16"/>
    </w:rPr>
  </w:style>
  <w:style w:type="paragraph" w:styleId="CommentText">
    <w:name w:val="annotation text"/>
    <w:basedOn w:val="Normal"/>
    <w:link w:val="CommentTextChar"/>
    <w:uiPriority w:val="99"/>
    <w:semiHidden/>
    <w:unhideWhenUsed/>
    <w:rsid w:val="00030588"/>
    <w:rPr>
      <w:sz w:val="20"/>
    </w:rPr>
  </w:style>
  <w:style w:type="character" w:customStyle="1" w:styleId="CommentTextChar">
    <w:name w:val="Comment Text Char"/>
    <w:basedOn w:val="DefaultParagraphFont"/>
    <w:link w:val="CommentText"/>
    <w:uiPriority w:val="99"/>
    <w:semiHidden/>
    <w:rsid w:val="00030588"/>
    <w:rPr>
      <w:rFonts w:ascii="Arial" w:eastAsia="Times New Roman" w:hAnsi="Arial"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030588"/>
    <w:rPr>
      <w:b/>
      <w:bCs/>
    </w:rPr>
  </w:style>
  <w:style w:type="character" w:customStyle="1" w:styleId="CommentSubjectChar">
    <w:name w:val="Comment Subject Char"/>
    <w:basedOn w:val="CommentTextChar"/>
    <w:link w:val="CommentSubject"/>
    <w:uiPriority w:val="99"/>
    <w:semiHidden/>
    <w:rsid w:val="00030588"/>
    <w:rPr>
      <w:rFonts w:ascii="Arial" w:eastAsia="Times New Roman" w:hAnsi="Arial" w:cs="Times New Roman"/>
      <w:b/>
      <w:bCs/>
      <w:sz w:val="20"/>
      <w:szCs w:val="20"/>
      <w:lang w:val="en-US" w:eastAsia="en-GB"/>
    </w:rPr>
  </w:style>
  <w:style w:type="paragraph" w:styleId="BalloonText">
    <w:name w:val="Balloon Text"/>
    <w:basedOn w:val="Normal"/>
    <w:link w:val="BalloonTextChar"/>
    <w:uiPriority w:val="99"/>
    <w:semiHidden/>
    <w:unhideWhenUsed/>
    <w:rsid w:val="000305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588"/>
    <w:rPr>
      <w:rFonts w:ascii="Segoe UI" w:eastAsia="Times New Roman" w:hAnsi="Segoe UI" w:cs="Segoe UI"/>
      <w:sz w:val="18"/>
      <w:szCs w:val="18"/>
      <w:lang w:val="en-US" w:eastAsia="en-GB"/>
    </w:rPr>
  </w:style>
  <w:style w:type="character" w:styleId="Hyperlink">
    <w:name w:val="Hyperlink"/>
    <w:basedOn w:val="DefaultParagraphFont"/>
    <w:uiPriority w:val="99"/>
    <w:unhideWhenUsed/>
    <w:rsid w:val="00AD66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623499">
      <w:bodyDiv w:val="1"/>
      <w:marLeft w:val="0"/>
      <w:marRight w:val="0"/>
      <w:marTop w:val="0"/>
      <w:marBottom w:val="0"/>
      <w:divBdr>
        <w:top w:val="none" w:sz="0" w:space="0" w:color="auto"/>
        <w:left w:val="none" w:sz="0" w:space="0" w:color="auto"/>
        <w:bottom w:val="none" w:sz="0" w:space="0" w:color="auto"/>
        <w:right w:val="none" w:sz="0" w:space="0" w:color="auto"/>
      </w:divBdr>
    </w:div>
    <w:div w:id="52371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qualityni.org/ECNI/media/ECNI/Publications/Corporate/Consultation-LegalAdvicePolicy/Consultation-LegalAssistanceLetter-ConditionsOfOffer.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F5E77-2202-455C-8EFA-A71ADB0B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Consultation Draft policy for provision of legal advice and assistance</vt:lpstr>
    </vt:vector>
  </TitlesOfParts>
  <Company>Equality Commission</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Draft policy for provision of legal advice and assistance</dc:title>
  <dc:subject/>
  <dc:creator>Anne McKernan</dc:creator>
  <cp:keywords/>
  <dc:description/>
  <cp:lastModifiedBy>Mark Soult</cp:lastModifiedBy>
  <cp:revision>24</cp:revision>
  <dcterms:created xsi:type="dcterms:W3CDTF">2021-06-03T12:51:00Z</dcterms:created>
  <dcterms:modified xsi:type="dcterms:W3CDTF">2021-06-16T09:20:00Z</dcterms:modified>
</cp:coreProperties>
</file>