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865" w:rsidRPr="001A0DA1" w:rsidRDefault="00607865" w:rsidP="001A0DA1">
      <w:pPr>
        <w:pStyle w:val="Heading1"/>
        <w:jc w:val="center"/>
        <w:rPr>
          <w:rFonts w:ascii="Arial" w:hAnsi="Arial" w:cs="Arial"/>
          <w:b/>
          <w:color w:val="000000" w:themeColor="text1"/>
          <w:sz w:val="28"/>
          <w:szCs w:val="28"/>
        </w:rPr>
      </w:pPr>
      <w:r w:rsidRPr="001A0DA1">
        <w:rPr>
          <w:rFonts w:ascii="Arial" w:hAnsi="Arial" w:cs="Arial"/>
          <w:b/>
          <w:color w:val="000000" w:themeColor="text1"/>
          <w:sz w:val="28"/>
          <w:szCs w:val="28"/>
        </w:rPr>
        <w:t>Measuring Equality in Northern Ireland – A Monitoring Draft Framework</w:t>
      </w:r>
    </w:p>
    <w:p w:rsidR="00607865" w:rsidRPr="001A0DA1" w:rsidRDefault="00607865" w:rsidP="001A0DA1">
      <w:pPr>
        <w:pStyle w:val="Heading1"/>
        <w:jc w:val="center"/>
        <w:rPr>
          <w:rFonts w:ascii="Arial" w:hAnsi="Arial" w:cs="Arial"/>
          <w:b/>
          <w:color w:val="000000" w:themeColor="text1"/>
          <w:sz w:val="28"/>
          <w:szCs w:val="28"/>
        </w:rPr>
      </w:pPr>
      <w:r w:rsidRPr="001A0DA1">
        <w:rPr>
          <w:rFonts w:ascii="Arial" w:hAnsi="Arial" w:cs="Arial"/>
          <w:b/>
          <w:color w:val="000000" w:themeColor="text1"/>
          <w:sz w:val="28"/>
          <w:szCs w:val="28"/>
        </w:rPr>
        <w:t>Example Statement framework</w:t>
      </w:r>
    </w:p>
    <w:p w:rsidR="00607865" w:rsidRPr="00607865" w:rsidRDefault="00607865" w:rsidP="00607865">
      <w:pPr>
        <w:rPr>
          <w:rFonts w:ascii="Arial" w:hAnsi="Arial" w:cs="Arial"/>
          <w:sz w:val="24"/>
          <w:szCs w:val="24"/>
        </w:rPr>
      </w:pPr>
    </w:p>
    <w:p w:rsidR="00607865" w:rsidRPr="00607865" w:rsidRDefault="00607865" w:rsidP="00607865">
      <w:pPr>
        <w:rPr>
          <w:rFonts w:ascii="Arial" w:hAnsi="Arial" w:cs="Arial"/>
          <w:sz w:val="24"/>
          <w:szCs w:val="24"/>
        </w:rPr>
      </w:pPr>
    </w:p>
    <w:p w:rsidR="00607865" w:rsidRPr="00607865" w:rsidRDefault="00607865" w:rsidP="00607865">
      <w:pPr>
        <w:rPr>
          <w:rFonts w:ascii="Arial" w:hAnsi="Arial" w:cs="Arial"/>
          <w:sz w:val="24"/>
          <w:szCs w:val="24"/>
        </w:rPr>
      </w:pPr>
      <w:r w:rsidRPr="00607865">
        <w:rPr>
          <w:rFonts w:ascii="Arial" w:hAnsi="Arial" w:cs="Arial"/>
          <w:sz w:val="24"/>
          <w:szCs w:val="24"/>
        </w:rPr>
        <w:t xml:space="preserve">This monitoring framework for Measuring Equality in Northern Ireland will provide the Commision with a mechanism to identify emerging inequalities and track improvements over time, in relation to persistent and deep-rooted inequalities on the lives of people in Northern Ireland.  </w:t>
      </w:r>
    </w:p>
    <w:p w:rsidR="00607865" w:rsidRPr="00607865" w:rsidRDefault="00607865" w:rsidP="00607865">
      <w:pPr>
        <w:rPr>
          <w:rFonts w:ascii="Arial" w:hAnsi="Arial" w:cs="Arial"/>
          <w:sz w:val="24"/>
          <w:szCs w:val="24"/>
        </w:rPr>
      </w:pPr>
      <w:r w:rsidRPr="00607865">
        <w:rPr>
          <w:rFonts w:ascii="Arial" w:hAnsi="Arial" w:cs="Arial"/>
          <w:sz w:val="24"/>
          <w:szCs w:val="24"/>
        </w:rPr>
        <w:t xml:space="preserve">The Commission plans to periodically produce a succinct Statement from the framework, covering particular outcome areas. This document provides an example of the Statement, to illustrate how these areas will be measured for the ongoing monitoring of equality in Northern Ireland. </w:t>
      </w:r>
    </w:p>
    <w:p w:rsidR="00607865" w:rsidRPr="00607865" w:rsidRDefault="00607865" w:rsidP="00607865">
      <w:pPr>
        <w:rPr>
          <w:rFonts w:ascii="Arial" w:hAnsi="Arial" w:cs="Arial"/>
          <w:sz w:val="24"/>
          <w:szCs w:val="24"/>
        </w:rPr>
      </w:pPr>
      <w:r w:rsidRPr="00607865">
        <w:rPr>
          <w:rFonts w:ascii="Arial" w:hAnsi="Arial" w:cs="Arial"/>
          <w:sz w:val="24"/>
          <w:szCs w:val="24"/>
        </w:rPr>
        <w:t xml:space="preserve"> </w:t>
      </w:r>
    </w:p>
    <w:p w:rsidR="00607865" w:rsidRPr="00607865" w:rsidRDefault="00607865" w:rsidP="00607865">
      <w:pPr>
        <w:rPr>
          <w:rFonts w:ascii="Arial" w:hAnsi="Arial" w:cs="Arial"/>
          <w:sz w:val="24"/>
          <w:szCs w:val="24"/>
        </w:rPr>
      </w:pPr>
      <w:r w:rsidRPr="00607865">
        <w:rPr>
          <w:rFonts w:ascii="Arial" w:hAnsi="Arial" w:cs="Arial"/>
          <w:sz w:val="24"/>
          <w:szCs w:val="24"/>
        </w:rPr>
        <w:t> </w:t>
      </w:r>
    </w:p>
    <w:p w:rsidR="00607865" w:rsidRPr="00607865" w:rsidRDefault="00607865" w:rsidP="00607865">
      <w:pPr>
        <w:rPr>
          <w:rFonts w:ascii="Arial" w:hAnsi="Arial" w:cs="Arial"/>
          <w:sz w:val="24"/>
          <w:szCs w:val="24"/>
        </w:rPr>
      </w:pPr>
    </w:p>
    <w:p w:rsidR="00CF6698" w:rsidRDefault="00CF6698" w:rsidP="00607865">
      <w:pPr>
        <w:rPr>
          <w:rFonts w:ascii="Arial" w:hAnsi="Arial" w:cs="Arial"/>
          <w:b/>
          <w:sz w:val="24"/>
          <w:szCs w:val="24"/>
        </w:rPr>
      </w:pPr>
    </w:p>
    <w:p w:rsidR="002C1E59" w:rsidRDefault="002C1E59" w:rsidP="00607865">
      <w:pPr>
        <w:rPr>
          <w:rFonts w:ascii="Arial" w:hAnsi="Arial" w:cs="Arial"/>
          <w:b/>
          <w:sz w:val="24"/>
          <w:szCs w:val="24"/>
        </w:rPr>
      </w:pPr>
    </w:p>
    <w:p w:rsidR="002C1E59" w:rsidRDefault="002C1E59" w:rsidP="00607865">
      <w:pPr>
        <w:rPr>
          <w:rFonts w:ascii="Arial" w:hAnsi="Arial" w:cs="Arial"/>
          <w:b/>
          <w:sz w:val="24"/>
          <w:szCs w:val="24"/>
        </w:rPr>
      </w:pPr>
    </w:p>
    <w:p w:rsidR="002C1E59" w:rsidRDefault="002C1E59" w:rsidP="00607865">
      <w:pPr>
        <w:rPr>
          <w:rFonts w:ascii="Arial" w:hAnsi="Arial" w:cs="Arial"/>
          <w:b/>
          <w:sz w:val="24"/>
          <w:szCs w:val="24"/>
        </w:rPr>
      </w:pPr>
    </w:p>
    <w:p w:rsidR="002C1E59" w:rsidRDefault="002C1E59" w:rsidP="00607865">
      <w:pPr>
        <w:rPr>
          <w:rFonts w:ascii="Arial" w:hAnsi="Arial" w:cs="Arial"/>
          <w:b/>
          <w:sz w:val="24"/>
          <w:szCs w:val="24"/>
        </w:rPr>
      </w:pPr>
    </w:p>
    <w:p w:rsidR="002C1E59" w:rsidRDefault="002C1E59" w:rsidP="00607865">
      <w:pPr>
        <w:rPr>
          <w:rFonts w:ascii="Arial" w:hAnsi="Arial" w:cs="Arial"/>
          <w:b/>
          <w:sz w:val="24"/>
          <w:szCs w:val="24"/>
        </w:rPr>
      </w:pPr>
    </w:p>
    <w:p w:rsidR="002C1E59" w:rsidRDefault="002C1E59" w:rsidP="00607865">
      <w:pPr>
        <w:rPr>
          <w:rFonts w:ascii="Arial" w:hAnsi="Arial" w:cs="Arial"/>
          <w:b/>
          <w:sz w:val="24"/>
          <w:szCs w:val="24"/>
        </w:rPr>
      </w:pPr>
    </w:p>
    <w:p w:rsidR="002C1E59" w:rsidRDefault="002C1E59" w:rsidP="00607865">
      <w:pPr>
        <w:rPr>
          <w:rFonts w:ascii="Arial" w:hAnsi="Arial" w:cs="Arial"/>
          <w:b/>
          <w:sz w:val="24"/>
          <w:szCs w:val="24"/>
        </w:rPr>
      </w:pPr>
    </w:p>
    <w:p w:rsidR="002C1E59" w:rsidRDefault="002C1E59" w:rsidP="00607865">
      <w:pPr>
        <w:rPr>
          <w:rFonts w:ascii="Arial" w:hAnsi="Arial" w:cs="Arial"/>
          <w:b/>
          <w:sz w:val="24"/>
          <w:szCs w:val="24"/>
        </w:rPr>
      </w:pPr>
    </w:p>
    <w:p w:rsidR="002C1E59" w:rsidRDefault="002C1E59" w:rsidP="00607865">
      <w:pPr>
        <w:rPr>
          <w:rFonts w:ascii="Arial" w:hAnsi="Arial" w:cs="Arial"/>
          <w:b/>
          <w:sz w:val="24"/>
          <w:szCs w:val="24"/>
        </w:rPr>
      </w:pPr>
    </w:p>
    <w:p w:rsidR="002C1E59" w:rsidRDefault="002C1E59" w:rsidP="00607865">
      <w:pPr>
        <w:rPr>
          <w:rFonts w:ascii="Arial" w:hAnsi="Arial" w:cs="Arial"/>
          <w:b/>
          <w:sz w:val="24"/>
          <w:szCs w:val="24"/>
        </w:rPr>
      </w:pPr>
    </w:p>
    <w:p w:rsidR="002C1E59" w:rsidRDefault="002C1E59" w:rsidP="00607865">
      <w:pPr>
        <w:rPr>
          <w:rFonts w:ascii="Arial" w:hAnsi="Arial" w:cs="Arial"/>
          <w:b/>
          <w:sz w:val="24"/>
          <w:szCs w:val="24"/>
        </w:rPr>
      </w:pPr>
    </w:p>
    <w:p w:rsidR="002C1E59" w:rsidRDefault="002C1E59" w:rsidP="00607865">
      <w:pPr>
        <w:rPr>
          <w:rFonts w:ascii="Arial" w:hAnsi="Arial" w:cs="Arial"/>
          <w:b/>
          <w:sz w:val="24"/>
          <w:szCs w:val="24"/>
        </w:rPr>
      </w:pPr>
    </w:p>
    <w:p w:rsidR="002C1E59" w:rsidRDefault="002C1E59" w:rsidP="00607865">
      <w:pPr>
        <w:rPr>
          <w:rFonts w:ascii="Arial" w:hAnsi="Arial" w:cs="Arial"/>
          <w:b/>
          <w:sz w:val="24"/>
          <w:szCs w:val="24"/>
        </w:rPr>
      </w:pPr>
    </w:p>
    <w:p w:rsidR="002C1E59" w:rsidRDefault="002C1E59" w:rsidP="00607865">
      <w:pPr>
        <w:rPr>
          <w:rFonts w:ascii="Arial" w:hAnsi="Arial" w:cs="Arial"/>
          <w:b/>
          <w:sz w:val="24"/>
          <w:szCs w:val="24"/>
        </w:rPr>
      </w:pPr>
    </w:p>
    <w:p w:rsidR="002C1E59" w:rsidRDefault="002C1E59" w:rsidP="00607865">
      <w:pPr>
        <w:rPr>
          <w:rFonts w:ascii="Arial" w:hAnsi="Arial" w:cs="Arial"/>
          <w:b/>
          <w:sz w:val="24"/>
          <w:szCs w:val="24"/>
        </w:rPr>
      </w:pPr>
    </w:p>
    <w:p w:rsidR="00607865" w:rsidRPr="001A0DA1" w:rsidRDefault="00607865" w:rsidP="001A0DA1">
      <w:pPr>
        <w:pStyle w:val="Heading1"/>
        <w:rPr>
          <w:rFonts w:ascii="Arial" w:hAnsi="Arial" w:cs="Arial"/>
          <w:b/>
          <w:color w:val="000000" w:themeColor="text1"/>
          <w:sz w:val="24"/>
          <w:szCs w:val="24"/>
        </w:rPr>
      </w:pPr>
      <w:r w:rsidRPr="001A0DA1">
        <w:rPr>
          <w:rFonts w:ascii="Arial" w:hAnsi="Arial" w:cs="Arial"/>
          <w:b/>
          <w:color w:val="000000" w:themeColor="text1"/>
          <w:sz w:val="24"/>
          <w:szCs w:val="24"/>
        </w:rPr>
        <w:lastRenderedPageBreak/>
        <w:t>EMPLOYMENT</w:t>
      </w:r>
    </w:p>
    <w:p w:rsidR="00607865" w:rsidRPr="00607865" w:rsidRDefault="00607865" w:rsidP="00607865">
      <w:pPr>
        <w:rPr>
          <w:rFonts w:ascii="Arial" w:hAnsi="Arial" w:cs="Arial"/>
          <w:sz w:val="24"/>
          <w:szCs w:val="24"/>
        </w:rPr>
      </w:pPr>
    </w:p>
    <w:p w:rsidR="00607865" w:rsidRPr="001A0DA1" w:rsidRDefault="00607865" w:rsidP="001A0DA1">
      <w:pPr>
        <w:pStyle w:val="Heading2"/>
        <w:rPr>
          <w:rFonts w:ascii="Arial" w:hAnsi="Arial" w:cs="Arial"/>
          <w:color w:val="000000" w:themeColor="text1"/>
          <w:sz w:val="24"/>
          <w:szCs w:val="24"/>
        </w:rPr>
      </w:pPr>
      <w:r w:rsidRPr="001A0DA1">
        <w:rPr>
          <w:rFonts w:ascii="Arial" w:hAnsi="Arial" w:cs="Arial"/>
          <w:b/>
          <w:color w:val="000000" w:themeColor="text1"/>
          <w:sz w:val="24"/>
          <w:szCs w:val="24"/>
        </w:rPr>
        <w:t>Outcome Area:</w:t>
      </w:r>
      <w:r w:rsidRPr="001A0DA1">
        <w:rPr>
          <w:rFonts w:ascii="Arial" w:hAnsi="Arial" w:cs="Arial"/>
          <w:color w:val="000000" w:themeColor="text1"/>
          <w:sz w:val="24"/>
          <w:szCs w:val="24"/>
        </w:rPr>
        <w:t xml:space="preserve"> There is equality of opportunity in employment.</w:t>
      </w:r>
    </w:p>
    <w:p w:rsidR="00607865" w:rsidRPr="00607865" w:rsidRDefault="00607865" w:rsidP="00607865">
      <w:pPr>
        <w:rPr>
          <w:rFonts w:ascii="Arial" w:hAnsi="Arial" w:cs="Arial"/>
          <w:sz w:val="24"/>
          <w:szCs w:val="24"/>
        </w:rPr>
      </w:pPr>
    </w:p>
    <w:p w:rsidR="00607865" w:rsidRPr="00607865" w:rsidRDefault="00607865" w:rsidP="00607865">
      <w:pPr>
        <w:rPr>
          <w:rFonts w:ascii="Arial" w:hAnsi="Arial" w:cs="Arial"/>
          <w:b/>
          <w:sz w:val="24"/>
          <w:szCs w:val="24"/>
        </w:rPr>
      </w:pPr>
      <w:r w:rsidRPr="00607865">
        <w:rPr>
          <w:rFonts w:ascii="Arial" w:hAnsi="Arial" w:cs="Arial"/>
          <w:b/>
          <w:sz w:val="24"/>
          <w:szCs w:val="24"/>
        </w:rPr>
        <w:t>What is m</w:t>
      </w:r>
      <w:r>
        <w:rPr>
          <w:rFonts w:ascii="Arial" w:hAnsi="Arial" w:cs="Arial"/>
          <w:b/>
          <w:sz w:val="24"/>
          <w:szCs w:val="24"/>
        </w:rPr>
        <w:t>ost important to achieve this?</w:t>
      </w:r>
    </w:p>
    <w:p w:rsidR="00607865" w:rsidRDefault="00607865" w:rsidP="002A5294">
      <w:pPr>
        <w:pStyle w:val="ListParagraph"/>
        <w:numPr>
          <w:ilvl w:val="0"/>
          <w:numId w:val="1"/>
        </w:numPr>
        <w:rPr>
          <w:rFonts w:ascii="Arial" w:hAnsi="Arial" w:cs="Arial"/>
          <w:sz w:val="24"/>
          <w:szCs w:val="24"/>
        </w:rPr>
      </w:pPr>
      <w:r w:rsidRPr="00607865">
        <w:rPr>
          <w:rFonts w:ascii="Arial" w:hAnsi="Arial" w:cs="Arial"/>
          <w:b/>
          <w:sz w:val="24"/>
          <w:szCs w:val="24"/>
        </w:rPr>
        <w:t>Access to Employment:</w:t>
      </w:r>
      <w:r w:rsidRPr="00607865">
        <w:rPr>
          <w:rFonts w:ascii="Arial" w:hAnsi="Arial" w:cs="Arial"/>
          <w:sz w:val="24"/>
          <w:szCs w:val="24"/>
        </w:rPr>
        <w:t xml:space="preserve"> People have equality of opportunity to fulfil their full potential in employment through access to lifelong learning, training, and career development.  No one is underemployed, and no one is prevented from working in a particular occupation without good reason due to their equality characteristics.</w:t>
      </w:r>
    </w:p>
    <w:p w:rsidR="00607865" w:rsidRDefault="00607865" w:rsidP="002F750D">
      <w:pPr>
        <w:pStyle w:val="ListParagraph"/>
        <w:numPr>
          <w:ilvl w:val="0"/>
          <w:numId w:val="1"/>
        </w:numPr>
        <w:rPr>
          <w:rFonts w:ascii="Arial" w:hAnsi="Arial" w:cs="Arial"/>
          <w:sz w:val="24"/>
          <w:szCs w:val="24"/>
        </w:rPr>
      </w:pPr>
      <w:r w:rsidRPr="00607865">
        <w:rPr>
          <w:rFonts w:ascii="Arial" w:hAnsi="Arial" w:cs="Arial"/>
          <w:b/>
          <w:sz w:val="24"/>
          <w:szCs w:val="24"/>
        </w:rPr>
        <w:t xml:space="preserve">More &amp; Better Jobs: </w:t>
      </w:r>
      <w:r w:rsidRPr="00607865">
        <w:rPr>
          <w:rFonts w:ascii="Arial" w:hAnsi="Arial" w:cs="Arial"/>
          <w:sz w:val="24"/>
          <w:szCs w:val="24"/>
        </w:rPr>
        <w:t>More people have better jobs that enable them to achieve financial independence and security in good quality, sustainable employment with fair pay, job security and flexibility.</w:t>
      </w:r>
    </w:p>
    <w:p w:rsidR="00607865" w:rsidRPr="00607865" w:rsidRDefault="00607865" w:rsidP="002F750D">
      <w:pPr>
        <w:pStyle w:val="ListParagraph"/>
        <w:numPr>
          <w:ilvl w:val="0"/>
          <w:numId w:val="1"/>
        </w:numPr>
        <w:rPr>
          <w:rFonts w:ascii="Arial" w:hAnsi="Arial" w:cs="Arial"/>
          <w:sz w:val="24"/>
          <w:szCs w:val="24"/>
        </w:rPr>
      </w:pPr>
      <w:r w:rsidRPr="00607865">
        <w:rPr>
          <w:rFonts w:ascii="Arial" w:hAnsi="Arial" w:cs="Arial"/>
          <w:b/>
          <w:sz w:val="24"/>
          <w:szCs w:val="24"/>
        </w:rPr>
        <w:t>Access to Support:</w:t>
      </w:r>
      <w:r w:rsidRPr="00607865">
        <w:rPr>
          <w:rFonts w:ascii="Arial" w:hAnsi="Arial" w:cs="Arial"/>
          <w:sz w:val="24"/>
          <w:szCs w:val="24"/>
        </w:rPr>
        <w:t xml:space="preserve"> There is equality of opportunity in the support people obtain, sustain and progress in employment, and to maintain a good work/life balance irrespective of their equality characteristics.  For example, this includes supporting people through the removal of barriers to employment including access to good quality, affordable childcare, access to reasonable adjustments and flexible working.</w:t>
      </w:r>
    </w:p>
    <w:p w:rsidR="00607865" w:rsidRPr="00607865" w:rsidRDefault="00607865" w:rsidP="00607865">
      <w:pPr>
        <w:rPr>
          <w:rFonts w:ascii="Arial" w:hAnsi="Arial" w:cs="Arial"/>
          <w:sz w:val="24"/>
          <w:szCs w:val="24"/>
        </w:rPr>
      </w:pPr>
    </w:p>
    <w:p w:rsidR="00607865" w:rsidRPr="001A0DA1" w:rsidRDefault="00CF6698" w:rsidP="001A0DA1">
      <w:pPr>
        <w:pStyle w:val="Heading2"/>
        <w:rPr>
          <w:rFonts w:ascii="Arial" w:hAnsi="Arial" w:cs="Arial"/>
          <w:b/>
          <w:color w:val="000000" w:themeColor="text1"/>
          <w:sz w:val="24"/>
          <w:szCs w:val="24"/>
        </w:rPr>
      </w:pPr>
      <w:r w:rsidRPr="001A0DA1">
        <w:rPr>
          <w:rFonts w:ascii="Arial" w:hAnsi="Arial" w:cs="Arial"/>
          <w:b/>
          <w:color w:val="000000" w:themeColor="text1"/>
          <w:sz w:val="24"/>
          <w:szCs w:val="24"/>
        </w:rPr>
        <w:t>Measures</w:t>
      </w:r>
      <w:r w:rsidR="001A0DA1">
        <w:rPr>
          <w:rFonts w:ascii="Arial" w:hAnsi="Arial" w:cs="Arial"/>
          <w:b/>
          <w:color w:val="000000" w:themeColor="text1"/>
          <w:sz w:val="24"/>
          <w:szCs w:val="24"/>
        </w:rPr>
        <w:br/>
      </w:r>
    </w:p>
    <w:p w:rsidR="00607865" w:rsidRPr="00607865" w:rsidRDefault="00607865" w:rsidP="00607865">
      <w:pPr>
        <w:rPr>
          <w:rFonts w:ascii="Arial" w:hAnsi="Arial" w:cs="Arial"/>
          <w:sz w:val="24"/>
          <w:szCs w:val="24"/>
        </w:rPr>
      </w:pPr>
      <w:r w:rsidRPr="00607865">
        <w:rPr>
          <w:rFonts w:ascii="Arial" w:hAnsi="Arial" w:cs="Arial"/>
          <w:sz w:val="24"/>
          <w:szCs w:val="24"/>
        </w:rPr>
        <w:t>1.</w:t>
      </w:r>
      <w:r w:rsidRPr="00607865">
        <w:rPr>
          <w:rFonts w:ascii="Arial" w:hAnsi="Arial" w:cs="Arial"/>
          <w:sz w:val="24"/>
          <w:szCs w:val="24"/>
        </w:rPr>
        <w:tab/>
        <w:t>Access to Employment</w:t>
      </w:r>
    </w:p>
    <w:p w:rsidR="00607865" w:rsidRDefault="00607865" w:rsidP="005E7369">
      <w:pPr>
        <w:pStyle w:val="ListParagraph"/>
        <w:numPr>
          <w:ilvl w:val="0"/>
          <w:numId w:val="2"/>
        </w:numPr>
        <w:rPr>
          <w:rFonts w:ascii="Arial" w:hAnsi="Arial" w:cs="Arial"/>
          <w:sz w:val="24"/>
          <w:szCs w:val="24"/>
        </w:rPr>
      </w:pPr>
      <w:r w:rsidRPr="00607865">
        <w:rPr>
          <w:rFonts w:ascii="Arial" w:hAnsi="Arial" w:cs="Arial"/>
          <w:sz w:val="24"/>
          <w:szCs w:val="24"/>
        </w:rPr>
        <w:t xml:space="preserve">Proportion of people aged 16 + years in employment. Source: </w:t>
      </w:r>
      <w:hyperlink r:id="rId8" w:history="1">
        <w:r w:rsidR="004C7490" w:rsidRPr="00A15F1F">
          <w:rPr>
            <w:rStyle w:val="Hyperlink"/>
            <w:rFonts w:ascii="Arial" w:hAnsi="Arial" w:cs="Arial"/>
            <w:sz w:val="24"/>
            <w:szCs w:val="24"/>
          </w:rPr>
          <w:t>Labour Force Survey | Northern Ireland Statistics and Research Agency (nisra.gov.uk)</w:t>
        </w:r>
      </w:hyperlink>
    </w:p>
    <w:p w:rsidR="00607865" w:rsidRPr="00607865" w:rsidRDefault="00607865" w:rsidP="005E7369">
      <w:pPr>
        <w:pStyle w:val="ListParagraph"/>
        <w:numPr>
          <w:ilvl w:val="0"/>
          <w:numId w:val="2"/>
        </w:numPr>
        <w:rPr>
          <w:rFonts w:ascii="Arial" w:hAnsi="Arial" w:cs="Arial"/>
          <w:sz w:val="24"/>
          <w:szCs w:val="24"/>
        </w:rPr>
      </w:pPr>
      <w:r w:rsidRPr="00607865">
        <w:rPr>
          <w:rFonts w:ascii="Arial" w:hAnsi="Arial" w:cs="Arial"/>
          <w:sz w:val="24"/>
          <w:szCs w:val="24"/>
        </w:rPr>
        <w:t>Representative workplaces, noting FETO and fair participation.</w:t>
      </w:r>
    </w:p>
    <w:p w:rsidR="00607865" w:rsidRPr="00607865" w:rsidRDefault="00607865" w:rsidP="00607865">
      <w:pPr>
        <w:rPr>
          <w:rFonts w:ascii="Arial" w:hAnsi="Arial" w:cs="Arial"/>
          <w:sz w:val="24"/>
          <w:szCs w:val="24"/>
        </w:rPr>
      </w:pPr>
    </w:p>
    <w:p w:rsidR="00607865" w:rsidRPr="00607865" w:rsidRDefault="00607865" w:rsidP="00607865">
      <w:pPr>
        <w:rPr>
          <w:rFonts w:ascii="Arial" w:hAnsi="Arial" w:cs="Arial"/>
          <w:sz w:val="24"/>
          <w:szCs w:val="24"/>
        </w:rPr>
      </w:pPr>
      <w:r w:rsidRPr="00607865">
        <w:rPr>
          <w:rFonts w:ascii="Arial" w:hAnsi="Arial" w:cs="Arial"/>
          <w:sz w:val="24"/>
          <w:szCs w:val="24"/>
        </w:rPr>
        <w:t xml:space="preserve"> </w:t>
      </w:r>
      <w:r>
        <w:rPr>
          <w:noProof/>
          <w:lang w:eastAsia="en-GB"/>
        </w:rPr>
        <w:drawing>
          <wp:inline distT="0" distB="0" distL="0" distR="0" wp14:anchorId="4E69D3DB" wp14:editId="4CF14D27">
            <wp:extent cx="4572000" cy="2584450"/>
            <wp:effectExtent l="0" t="0" r="0" b="6350"/>
            <wp:docPr id="23" name="Chart 23" descr="Employment rates of people with and without disabilities" title="NI Employment rate of people with/without disabilities 2020">
              <a:extLst xmlns:a="http://schemas.openxmlformats.org/drawingml/2006/main">
                <a:ext uri="{FF2B5EF4-FFF2-40B4-BE49-F238E27FC236}">
                  <a16:creationId xmlns:a16="http://schemas.microsoft.com/office/drawing/2014/main" id="{ABCD8344-B695-41B6-B05E-234D281A79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07865" w:rsidRPr="00607865" w:rsidRDefault="00607865" w:rsidP="00607865">
      <w:pPr>
        <w:rPr>
          <w:rFonts w:ascii="Arial" w:hAnsi="Arial" w:cs="Arial"/>
          <w:sz w:val="24"/>
          <w:szCs w:val="24"/>
        </w:rPr>
      </w:pPr>
    </w:p>
    <w:p w:rsidR="00607865" w:rsidRPr="00607865" w:rsidRDefault="00607865" w:rsidP="00607865">
      <w:pPr>
        <w:rPr>
          <w:rFonts w:ascii="Arial" w:hAnsi="Arial" w:cs="Arial"/>
          <w:sz w:val="24"/>
          <w:szCs w:val="24"/>
        </w:rPr>
      </w:pPr>
      <w:r w:rsidRPr="00607865">
        <w:rPr>
          <w:rFonts w:ascii="Arial" w:hAnsi="Arial" w:cs="Arial"/>
          <w:sz w:val="24"/>
          <w:szCs w:val="24"/>
        </w:rPr>
        <w:lastRenderedPageBreak/>
        <w:t>2.</w:t>
      </w:r>
      <w:r w:rsidRPr="00607865">
        <w:rPr>
          <w:rFonts w:ascii="Arial" w:hAnsi="Arial" w:cs="Arial"/>
          <w:sz w:val="24"/>
          <w:szCs w:val="24"/>
        </w:rPr>
        <w:tab/>
        <w:t>More and better jobs</w:t>
      </w:r>
    </w:p>
    <w:p w:rsidR="00607865" w:rsidRPr="00607865" w:rsidRDefault="00607865" w:rsidP="00607865">
      <w:pPr>
        <w:rPr>
          <w:rFonts w:ascii="Arial" w:hAnsi="Arial" w:cs="Arial"/>
          <w:sz w:val="24"/>
          <w:szCs w:val="24"/>
        </w:rPr>
      </w:pPr>
      <w:r w:rsidRPr="00607865">
        <w:rPr>
          <w:rFonts w:ascii="Arial" w:hAnsi="Arial" w:cs="Arial"/>
          <w:sz w:val="24"/>
          <w:szCs w:val="24"/>
        </w:rPr>
        <w:t>More Jobs</w:t>
      </w:r>
    </w:p>
    <w:p w:rsidR="00607865" w:rsidRDefault="00607865" w:rsidP="00976D4D">
      <w:pPr>
        <w:pStyle w:val="ListParagraph"/>
        <w:numPr>
          <w:ilvl w:val="0"/>
          <w:numId w:val="3"/>
        </w:numPr>
        <w:rPr>
          <w:rFonts w:ascii="Arial" w:hAnsi="Arial" w:cs="Arial"/>
          <w:sz w:val="24"/>
          <w:szCs w:val="24"/>
        </w:rPr>
      </w:pPr>
      <w:r w:rsidRPr="00607865">
        <w:rPr>
          <w:rFonts w:ascii="Arial" w:hAnsi="Arial" w:cs="Arial"/>
          <w:sz w:val="24"/>
          <w:szCs w:val="24"/>
        </w:rPr>
        <w:t xml:space="preserve">Percentage of people aged 16+ years who are employed, unemployed or economically </w:t>
      </w:r>
      <w:r w:rsidR="004C7490">
        <w:rPr>
          <w:rFonts w:ascii="Arial" w:hAnsi="Arial" w:cs="Arial"/>
          <w:sz w:val="24"/>
          <w:szCs w:val="24"/>
        </w:rPr>
        <w:t xml:space="preserve">inactive. Source: </w:t>
      </w:r>
      <w:hyperlink r:id="rId10" w:history="1">
        <w:r w:rsidR="004C7490" w:rsidRPr="00A15F1F">
          <w:rPr>
            <w:rStyle w:val="Hyperlink"/>
            <w:rFonts w:ascii="Arial" w:hAnsi="Arial" w:cs="Arial"/>
            <w:sz w:val="24"/>
            <w:szCs w:val="24"/>
          </w:rPr>
          <w:t>Labour Force Survey | Northern Ireland Statistics and Research Agency (nisra.gov.uk)</w:t>
        </w:r>
      </w:hyperlink>
      <w:r w:rsidR="004C7490">
        <w:rPr>
          <w:rStyle w:val="Hyperlink"/>
          <w:rFonts w:ascii="Arial" w:hAnsi="Arial" w:cs="Arial"/>
          <w:sz w:val="24"/>
          <w:szCs w:val="24"/>
        </w:rPr>
        <w:t>.</w:t>
      </w:r>
    </w:p>
    <w:p w:rsidR="00607865" w:rsidRDefault="00607865" w:rsidP="0074745C">
      <w:pPr>
        <w:pStyle w:val="ListParagraph"/>
        <w:numPr>
          <w:ilvl w:val="0"/>
          <w:numId w:val="3"/>
        </w:numPr>
        <w:rPr>
          <w:rFonts w:ascii="Arial" w:hAnsi="Arial" w:cs="Arial"/>
          <w:sz w:val="24"/>
          <w:szCs w:val="24"/>
        </w:rPr>
      </w:pPr>
      <w:r w:rsidRPr="00607865">
        <w:rPr>
          <w:rFonts w:ascii="Arial" w:hAnsi="Arial" w:cs="Arial"/>
          <w:sz w:val="24"/>
          <w:szCs w:val="24"/>
        </w:rPr>
        <w:t xml:space="preserve">Percentage of people aged 16+ years who work full-time and part-time. Source: </w:t>
      </w:r>
      <w:hyperlink r:id="rId11" w:history="1">
        <w:r w:rsidR="004C7490" w:rsidRPr="00A15F1F">
          <w:rPr>
            <w:rStyle w:val="Hyperlink"/>
            <w:rFonts w:ascii="Arial" w:hAnsi="Arial" w:cs="Arial"/>
            <w:sz w:val="24"/>
            <w:szCs w:val="24"/>
          </w:rPr>
          <w:t>Labour Force Survey | Northern Ireland Statistics and Research Agency (nisra.gov.uk)</w:t>
        </w:r>
      </w:hyperlink>
      <w:r w:rsidR="004C7490">
        <w:rPr>
          <w:rStyle w:val="Hyperlink"/>
          <w:rFonts w:ascii="Arial" w:hAnsi="Arial" w:cs="Arial"/>
          <w:sz w:val="24"/>
          <w:szCs w:val="24"/>
        </w:rPr>
        <w:t>.</w:t>
      </w:r>
    </w:p>
    <w:p w:rsidR="00607865" w:rsidRPr="00607865" w:rsidRDefault="00607865" w:rsidP="0074745C">
      <w:pPr>
        <w:pStyle w:val="ListParagraph"/>
        <w:numPr>
          <w:ilvl w:val="0"/>
          <w:numId w:val="3"/>
        </w:numPr>
        <w:rPr>
          <w:rFonts w:ascii="Arial" w:hAnsi="Arial" w:cs="Arial"/>
          <w:sz w:val="24"/>
          <w:szCs w:val="24"/>
        </w:rPr>
      </w:pPr>
      <w:r w:rsidRPr="00607865">
        <w:rPr>
          <w:rFonts w:ascii="Arial" w:hAnsi="Arial" w:cs="Arial"/>
          <w:sz w:val="24"/>
          <w:szCs w:val="24"/>
        </w:rPr>
        <w:t xml:space="preserve">Reasons for economic inactivity. Source: </w:t>
      </w:r>
      <w:hyperlink r:id="rId12" w:history="1">
        <w:r w:rsidR="004C7490" w:rsidRPr="00A15F1F">
          <w:rPr>
            <w:rStyle w:val="Hyperlink"/>
            <w:rFonts w:ascii="Arial" w:hAnsi="Arial" w:cs="Arial"/>
            <w:sz w:val="24"/>
            <w:szCs w:val="24"/>
          </w:rPr>
          <w:t>Labour Force Survey | Northern Ireland Statistics and Research Agency (nisra.gov.uk)</w:t>
        </w:r>
      </w:hyperlink>
      <w:r w:rsidRPr="00607865">
        <w:rPr>
          <w:rFonts w:ascii="Arial" w:hAnsi="Arial" w:cs="Arial"/>
          <w:sz w:val="24"/>
          <w:szCs w:val="24"/>
        </w:rPr>
        <w:t>.</w:t>
      </w:r>
    </w:p>
    <w:p w:rsidR="00607865" w:rsidRPr="00607865" w:rsidRDefault="00607865" w:rsidP="00607865">
      <w:pPr>
        <w:rPr>
          <w:rFonts w:ascii="Arial" w:hAnsi="Arial" w:cs="Arial"/>
          <w:sz w:val="24"/>
          <w:szCs w:val="24"/>
        </w:rPr>
      </w:pPr>
    </w:p>
    <w:p w:rsidR="00607865" w:rsidRPr="00607865" w:rsidRDefault="00607865" w:rsidP="00607865">
      <w:pPr>
        <w:rPr>
          <w:rFonts w:ascii="Arial" w:hAnsi="Arial" w:cs="Arial"/>
          <w:sz w:val="24"/>
          <w:szCs w:val="24"/>
        </w:rPr>
      </w:pPr>
      <w:r w:rsidRPr="00607865">
        <w:rPr>
          <w:rFonts w:ascii="Arial" w:hAnsi="Arial" w:cs="Arial"/>
          <w:sz w:val="24"/>
          <w:szCs w:val="24"/>
        </w:rPr>
        <w:t>Better Jobs</w:t>
      </w:r>
    </w:p>
    <w:p w:rsidR="00607865" w:rsidRDefault="00607865" w:rsidP="005A1339">
      <w:pPr>
        <w:pStyle w:val="ListParagraph"/>
        <w:numPr>
          <w:ilvl w:val="0"/>
          <w:numId w:val="4"/>
        </w:numPr>
        <w:rPr>
          <w:rFonts w:ascii="Arial" w:hAnsi="Arial" w:cs="Arial"/>
          <w:sz w:val="24"/>
          <w:szCs w:val="24"/>
        </w:rPr>
      </w:pPr>
      <w:r w:rsidRPr="00607865">
        <w:rPr>
          <w:rFonts w:ascii="Arial" w:hAnsi="Arial" w:cs="Arial"/>
          <w:sz w:val="24"/>
          <w:szCs w:val="24"/>
        </w:rPr>
        <w:t xml:space="preserve">Proportion of people aged 16 + years in secure employment. Source: </w:t>
      </w:r>
      <w:hyperlink r:id="rId13" w:history="1">
        <w:r w:rsidR="0001202C" w:rsidRPr="00A15F1F">
          <w:rPr>
            <w:rStyle w:val="Hyperlink"/>
            <w:rFonts w:ascii="Arial" w:hAnsi="Arial" w:cs="Arial"/>
            <w:sz w:val="24"/>
            <w:szCs w:val="24"/>
          </w:rPr>
          <w:t>Labour Force Survey | Northern Ireland Statistics and Research Agency (nisra.gov.uk)</w:t>
        </w:r>
      </w:hyperlink>
    </w:p>
    <w:p w:rsidR="00607865" w:rsidRDefault="00607865" w:rsidP="005016F2">
      <w:pPr>
        <w:pStyle w:val="ListParagraph"/>
        <w:numPr>
          <w:ilvl w:val="0"/>
          <w:numId w:val="4"/>
        </w:numPr>
        <w:rPr>
          <w:rFonts w:ascii="Arial" w:hAnsi="Arial" w:cs="Arial"/>
          <w:sz w:val="24"/>
          <w:szCs w:val="24"/>
        </w:rPr>
      </w:pPr>
      <w:r w:rsidRPr="00607865">
        <w:rPr>
          <w:rFonts w:ascii="Arial" w:hAnsi="Arial" w:cs="Arial"/>
          <w:sz w:val="24"/>
          <w:szCs w:val="24"/>
        </w:rPr>
        <w:t xml:space="preserve">Median gross hourly earnings (excluding overtime) for full-time, part-time and all workers. Source: </w:t>
      </w:r>
      <w:hyperlink r:id="rId14" w:history="1">
        <w:r w:rsidR="0001202C" w:rsidRPr="00A15F1F">
          <w:rPr>
            <w:rStyle w:val="Hyperlink"/>
            <w:rFonts w:ascii="Arial" w:hAnsi="Arial" w:cs="Arial"/>
            <w:sz w:val="24"/>
            <w:szCs w:val="24"/>
          </w:rPr>
          <w:t>Annual Survey of Hours and Earnings | Northern Ireland Statistics and Research Agency (nisra.gov.uk)</w:t>
        </w:r>
      </w:hyperlink>
    </w:p>
    <w:p w:rsidR="00607865" w:rsidRDefault="00607865" w:rsidP="004A2AB2">
      <w:pPr>
        <w:pStyle w:val="ListParagraph"/>
        <w:numPr>
          <w:ilvl w:val="0"/>
          <w:numId w:val="4"/>
        </w:numPr>
        <w:rPr>
          <w:rFonts w:ascii="Arial" w:hAnsi="Arial" w:cs="Arial"/>
          <w:sz w:val="24"/>
          <w:szCs w:val="24"/>
        </w:rPr>
      </w:pPr>
      <w:r w:rsidRPr="00607865">
        <w:rPr>
          <w:rFonts w:ascii="Arial" w:hAnsi="Arial" w:cs="Arial"/>
          <w:sz w:val="24"/>
          <w:szCs w:val="24"/>
        </w:rPr>
        <w:t xml:space="preserve">Percentage of people aged 16+ years in employment who are underemployed/overemployed. Source: </w:t>
      </w:r>
      <w:hyperlink r:id="rId15" w:history="1">
        <w:r w:rsidR="0001202C" w:rsidRPr="00A15F1F">
          <w:rPr>
            <w:rStyle w:val="Hyperlink"/>
            <w:rFonts w:ascii="Arial" w:hAnsi="Arial" w:cs="Arial"/>
            <w:sz w:val="24"/>
            <w:szCs w:val="24"/>
          </w:rPr>
          <w:t>Labour Force Survey | Northern Ireland Statistics and Research Agency (nisra.gov.uk)</w:t>
        </w:r>
      </w:hyperlink>
    </w:p>
    <w:p w:rsidR="00607865" w:rsidRDefault="00607865" w:rsidP="00FB63E6">
      <w:pPr>
        <w:pStyle w:val="ListParagraph"/>
        <w:numPr>
          <w:ilvl w:val="0"/>
          <w:numId w:val="4"/>
        </w:numPr>
        <w:rPr>
          <w:rFonts w:ascii="Arial" w:hAnsi="Arial" w:cs="Arial"/>
          <w:sz w:val="24"/>
          <w:szCs w:val="24"/>
        </w:rPr>
      </w:pPr>
      <w:r w:rsidRPr="00607865">
        <w:rPr>
          <w:rFonts w:ascii="Arial" w:hAnsi="Arial" w:cs="Arial"/>
          <w:sz w:val="24"/>
          <w:szCs w:val="24"/>
        </w:rPr>
        <w:t>Percentage of people aged 16+years in employment who report that their job offers opportunities for career progression.</w:t>
      </w:r>
    </w:p>
    <w:p w:rsidR="005A2151" w:rsidRPr="005A2151" w:rsidRDefault="00607865" w:rsidP="0080634F">
      <w:pPr>
        <w:pStyle w:val="ListParagraph"/>
        <w:numPr>
          <w:ilvl w:val="0"/>
          <w:numId w:val="4"/>
        </w:numPr>
        <w:rPr>
          <w:rFonts w:ascii="Arial" w:hAnsi="Arial" w:cs="Arial"/>
          <w:sz w:val="24"/>
          <w:szCs w:val="24"/>
        </w:rPr>
      </w:pPr>
      <w:r w:rsidRPr="005A2151">
        <w:rPr>
          <w:rFonts w:ascii="Arial" w:hAnsi="Arial" w:cs="Arial"/>
          <w:sz w:val="24"/>
          <w:szCs w:val="24"/>
        </w:rPr>
        <w:t xml:space="preserve">Percentage of people in high paid occupations (SOC 1 and 2) or low paid occupations (SOC 6,8,9). Source: </w:t>
      </w:r>
      <w:hyperlink r:id="rId16" w:history="1">
        <w:r w:rsidR="0001202C" w:rsidRPr="00A15F1F">
          <w:rPr>
            <w:rStyle w:val="Hyperlink"/>
            <w:rFonts w:ascii="Arial" w:hAnsi="Arial" w:cs="Arial"/>
            <w:sz w:val="24"/>
            <w:szCs w:val="24"/>
          </w:rPr>
          <w:t>Labour Force Survey | Northern Ireland Statistics and Research Agency (nisra.gov.uk)</w:t>
        </w:r>
      </w:hyperlink>
      <w:r w:rsidR="005A2151" w:rsidRPr="005A2151">
        <w:rPr>
          <w:rFonts w:ascii="Arial" w:hAnsi="Arial" w:cs="Arial"/>
          <w:sz w:val="24"/>
          <w:szCs w:val="24"/>
        </w:rPr>
        <w:br/>
      </w:r>
      <w:r w:rsidR="005A2151" w:rsidRPr="005A2151">
        <w:rPr>
          <w:rFonts w:ascii="Arial" w:hAnsi="Arial" w:cs="Arial"/>
          <w:sz w:val="24"/>
          <w:szCs w:val="24"/>
        </w:rPr>
        <w:br/>
      </w:r>
      <w:r w:rsidR="005A2151">
        <w:rPr>
          <w:noProof/>
          <w:lang w:eastAsia="en-GB"/>
        </w:rPr>
        <w:drawing>
          <wp:inline distT="0" distB="0" distL="0" distR="0" wp14:anchorId="0CF9B763" wp14:editId="62FCF767">
            <wp:extent cx="4254500" cy="2044700"/>
            <wp:effectExtent l="0" t="0" r="12700" b="12700"/>
            <wp:docPr id="5" name="Chart 5" descr="Hourly earnings in NI by gender" title="Median gross hourly earnings (excluding overtime) by gender in NI, 2020">
              <a:extLst xmlns:a="http://schemas.openxmlformats.org/drawingml/2006/main">
                <a:ext uri="{FF2B5EF4-FFF2-40B4-BE49-F238E27FC236}">
                  <a16:creationId xmlns:a16="http://schemas.microsoft.com/office/drawing/2014/main" id="{280C1855-49B4-41BF-B257-1A53BBAF51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F6698" w:rsidRDefault="00052638" w:rsidP="00607865">
      <w:pPr>
        <w:rPr>
          <w:rFonts w:ascii="Arial" w:hAnsi="Arial" w:cs="Arial"/>
          <w:sz w:val="24"/>
          <w:szCs w:val="24"/>
        </w:rPr>
      </w:pPr>
      <w:r>
        <w:rPr>
          <w:noProof/>
          <w:lang w:eastAsia="en-GB"/>
        </w:rPr>
        <w:lastRenderedPageBreak/>
        <w:drawing>
          <wp:inline distT="0" distB="0" distL="0" distR="0" wp14:anchorId="439CCDC9" wp14:editId="718F7860">
            <wp:extent cx="4095750" cy="2063750"/>
            <wp:effectExtent l="0" t="0" r="0" b="12700"/>
            <wp:docPr id="2" name="Chart 2" descr="Underemployment by age (16-64)" title="Underemployment by Age Group in NI 2019">
              <a:extLst xmlns:a="http://schemas.openxmlformats.org/drawingml/2006/main">
                <a:ext uri="{FF2B5EF4-FFF2-40B4-BE49-F238E27FC236}">
                  <a16:creationId xmlns:a16="http://schemas.microsoft.com/office/drawing/2014/main" id="{775C48EC-0EC2-48BA-A62D-AAE53BDD3D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52638" w:rsidRDefault="00052638" w:rsidP="00607865">
      <w:pPr>
        <w:rPr>
          <w:rFonts w:ascii="Arial" w:hAnsi="Arial" w:cs="Arial"/>
          <w:sz w:val="24"/>
          <w:szCs w:val="24"/>
        </w:rPr>
      </w:pPr>
    </w:p>
    <w:p w:rsidR="00607865" w:rsidRPr="00607865" w:rsidRDefault="00607865" w:rsidP="00607865">
      <w:pPr>
        <w:rPr>
          <w:rFonts w:ascii="Arial" w:hAnsi="Arial" w:cs="Arial"/>
          <w:sz w:val="24"/>
          <w:szCs w:val="24"/>
        </w:rPr>
      </w:pPr>
      <w:r w:rsidRPr="00607865">
        <w:rPr>
          <w:rFonts w:ascii="Arial" w:hAnsi="Arial" w:cs="Arial"/>
          <w:sz w:val="24"/>
          <w:szCs w:val="24"/>
        </w:rPr>
        <w:t>3.</w:t>
      </w:r>
      <w:r w:rsidRPr="00607865">
        <w:rPr>
          <w:rFonts w:ascii="Arial" w:hAnsi="Arial" w:cs="Arial"/>
          <w:sz w:val="24"/>
          <w:szCs w:val="24"/>
        </w:rPr>
        <w:tab/>
        <w:t xml:space="preserve">Access to Support </w:t>
      </w:r>
    </w:p>
    <w:p w:rsidR="00607865" w:rsidRDefault="00607865" w:rsidP="00B50630">
      <w:pPr>
        <w:pStyle w:val="ListParagraph"/>
        <w:numPr>
          <w:ilvl w:val="0"/>
          <w:numId w:val="5"/>
        </w:numPr>
        <w:rPr>
          <w:rFonts w:ascii="Arial" w:hAnsi="Arial" w:cs="Arial"/>
          <w:sz w:val="24"/>
          <w:szCs w:val="24"/>
        </w:rPr>
      </w:pPr>
      <w:r w:rsidRPr="00607865">
        <w:rPr>
          <w:rFonts w:ascii="Arial" w:hAnsi="Arial" w:cs="Arial"/>
          <w:sz w:val="24"/>
          <w:szCs w:val="24"/>
        </w:rPr>
        <w:t>Proportion of people aged 16 + years in employment who feel their employer is flexible and supportive. No specific data. Potential to include with ECNI Public Opinion Survey.</w:t>
      </w:r>
    </w:p>
    <w:p w:rsidR="00731B75" w:rsidRDefault="00607865" w:rsidP="00B50630">
      <w:pPr>
        <w:pStyle w:val="ListParagraph"/>
        <w:numPr>
          <w:ilvl w:val="0"/>
          <w:numId w:val="5"/>
        </w:numPr>
        <w:rPr>
          <w:rFonts w:ascii="Arial" w:hAnsi="Arial" w:cs="Arial"/>
          <w:sz w:val="24"/>
          <w:szCs w:val="24"/>
        </w:rPr>
      </w:pPr>
      <w:r w:rsidRPr="00607865">
        <w:rPr>
          <w:rFonts w:ascii="Arial" w:hAnsi="Arial" w:cs="Arial"/>
          <w:sz w:val="24"/>
          <w:szCs w:val="24"/>
        </w:rPr>
        <w:t xml:space="preserve">Proportion of working parents who feel there is insufficient childcare in the area in which they live. Source: </w:t>
      </w:r>
      <w:hyperlink r:id="rId19" w:history="1">
        <w:r w:rsidR="0001202C" w:rsidRPr="00C71056">
          <w:rPr>
            <w:rStyle w:val="Hyperlink"/>
            <w:rFonts w:ascii="Arial" w:hAnsi="Arial" w:cs="Arial"/>
            <w:sz w:val="24"/>
            <w:szCs w:val="24"/>
          </w:rPr>
          <w:t>Northern Ireland Childcare Survey 2020 - Employers For Childcare</w:t>
        </w:r>
      </w:hyperlink>
      <w:bookmarkStart w:id="0" w:name="_GoBack"/>
      <w:bookmarkEnd w:id="0"/>
      <w:r w:rsidR="002C1E59">
        <w:rPr>
          <w:rFonts w:ascii="Arial" w:hAnsi="Arial" w:cs="Arial"/>
          <w:sz w:val="24"/>
          <w:szCs w:val="24"/>
        </w:rPr>
        <w:br/>
      </w:r>
    </w:p>
    <w:p w:rsidR="00607865" w:rsidRPr="00607865" w:rsidRDefault="00607865" w:rsidP="00607865">
      <w:pPr>
        <w:rPr>
          <w:rFonts w:ascii="Arial" w:hAnsi="Arial" w:cs="Arial"/>
          <w:sz w:val="24"/>
          <w:szCs w:val="24"/>
        </w:rPr>
      </w:pPr>
      <w:r>
        <w:rPr>
          <w:noProof/>
          <w:lang w:eastAsia="en-GB"/>
        </w:rPr>
        <w:drawing>
          <wp:inline distT="0" distB="0" distL="0" distR="0" wp14:anchorId="5572AB17" wp14:editId="2B1A716A">
            <wp:extent cx="4447309" cy="2396837"/>
            <wp:effectExtent l="0" t="0" r="10795" b="3810"/>
            <wp:docPr id="27" name="Chart 27" descr="Families accessing preferred choice of childcasre" title="Percentage of families able to access preferred choice of childcare NI 2020">
              <a:extLst xmlns:a="http://schemas.openxmlformats.org/drawingml/2006/main">
                <a:ext uri="{FF2B5EF4-FFF2-40B4-BE49-F238E27FC236}">
                  <a16:creationId xmlns:a16="http://schemas.microsoft.com/office/drawing/2014/main" id="{6F4075E2-DC16-44F8-9168-B78F7761A2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sectPr w:rsidR="00607865" w:rsidRPr="0060786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855" w:rsidRDefault="00994855">
      <w:pPr>
        <w:spacing w:after="0" w:line="240" w:lineRule="auto"/>
      </w:pPr>
      <w:r>
        <w:separator/>
      </w:r>
    </w:p>
  </w:endnote>
  <w:endnote w:type="continuationSeparator" w:id="0">
    <w:p w:rsidR="00994855" w:rsidRDefault="00994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855" w:rsidRDefault="00994855">
      <w:pPr>
        <w:spacing w:after="0" w:line="240" w:lineRule="auto"/>
      </w:pPr>
      <w:r>
        <w:separator/>
      </w:r>
    </w:p>
  </w:footnote>
  <w:footnote w:type="continuationSeparator" w:id="0">
    <w:p w:rsidR="00994855" w:rsidRDefault="009948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064B4"/>
    <w:multiLevelType w:val="hybridMultilevel"/>
    <w:tmpl w:val="36469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556C00"/>
    <w:multiLevelType w:val="hybridMultilevel"/>
    <w:tmpl w:val="056A0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265BBF"/>
    <w:multiLevelType w:val="hybridMultilevel"/>
    <w:tmpl w:val="13F4D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7D5843"/>
    <w:multiLevelType w:val="hybridMultilevel"/>
    <w:tmpl w:val="76D0A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4F1396"/>
    <w:multiLevelType w:val="hybridMultilevel"/>
    <w:tmpl w:val="515A4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MwMv9/RRJU26S2D40mLYqF/ev7t5vIhXyqRNsdhF0luFpzUs0xLHBmx4em6BF/en"/>
  </w:docVars>
  <w:rsids>
    <w:rsidRoot w:val="00607865"/>
    <w:rsid w:val="0001202C"/>
    <w:rsid w:val="000346F5"/>
    <w:rsid w:val="00052638"/>
    <w:rsid w:val="001A0DA1"/>
    <w:rsid w:val="001E6285"/>
    <w:rsid w:val="002C1E59"/>
    <w:rsid w:val="00392310"/>
    <w:rsid w:val="004C7490"/>
    <w:rsid w:val="004F0EAD"/>
    <w:rsid w:val="005A2151"/>
    <w:rsid w:val="00607865"/>
    <w:rsid w:val="0062655E"/>
    <w:rsid w:val="00705373"/>
    <w:rsid w:val="00723925"/>
    <w:rsid w:val="00731B75"/>
    <w:rsid w:val="00994855"/>
    <w:rsid w:val="009B12B0"/>
    <w:rsid w:val="00CF6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CAC87"/>
  <w15:chartTrackingRefBased/>
  <w15:docId w15:val="{51D720A7-7292-41BE-BEF2-D1EDCB2DB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0D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A0D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865"/>
    <w:pPr>
      <w:ind w:left="720"/>
      <w:contextualSpacing/>
    </w:pPr>
  </w:style>
  <w:style w:type="table" w:customStyle="1" w:styleId="TableGrid1">
    <w:name w:val="Table Grid1"/>
    <w:basedOn w:val="TableNormal"/>
    <w:next w:val="TableGrid"/>
    <w:uiPriority w:val="39"/>
    <w:rsid w:val="00607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07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A0DA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A0DA1"/>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4C74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sra.gov.uk/statistics/labour-market-and-social-welfare/labour-force-survey" TargetMode="External"/><Relationship Id="rId13" Type="http://schemas.openxmlformats.org/officeDocument/2006/relationships/hyperlink" Target="https://www.nisra.gov.uk/statistics/labour-market-and-social-welfare/labour-force-survey" TargetMode="Externa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isra.gov.uk/statistics/labour-market-and-social-welfare/labour-force-survey" TargetMode="Externa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hyperlink" Target="https://www.nisra.gov.uk/statistics/labour-market-and-social-welfare/labour-force-survey" TargetMode="External"/><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sra.gov.uk/statistics/labour-market-and-social-welfare/labour-force-survey" TargetMode="External"/><Relationship Id="rId5" Type="http://schemas.openxmlformats.org/officeDocument/2006/relationships/webSettings" Target="webSettings.xml"/><Relationship Id="rId15" Type="http://schemas.openxmlformats.org/officeDocument/2006/relationships/hyperlink" Target="https://www.nisra.gov.uk/statistics/labour-market-and-social-welfare/labour-force-survey" TargetMode="External"/><Relationship Id="rId10" Type="http://schemas.openxmlformats.org/officeDocument/2006/relationships/hyperlink" Target="https://www.nisra.gov.uk/statistics/labour-market-and-social-welfare/labour-force-survey" TargetMode="External"/><Relationship Id="rId19" Type="http://schemas.openxmlformats.org/officeDocument/2006/relationships/hyperlink" Target="https://www.employersforchildcare.org/report/northern-ireland-childcare-survey-2020/"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www.nisra.gov.uk/statistics/labour-market-and-social-welfare/annual-survey-hours-and-earnings"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NMcClelland\Downloads\ASHE2020T17.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NMcClelland\Downloads\Underemployment%20In%20Northern%20Ireland%20-%20tables_0%20(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solidFill>
                <a:latin typeface="+mn-lt"/>
                <a:ea typeface="+mn-ea"/>
                <a:cs typeface="+mn-cs"/>
              </a:defRPr>
            </a:pPr>
            <a:r>
              <a:rPr lang="en-GB" sz="1100" b="1">
                <a:solidFill>
                  <a:schemeClr val="tx1"/>
                </a:solidFill>
              </a:rPr>
              <a:t>NI Employment rate of people with/without</a:t>
            </a:r>
            <a:r>
              <a:rPr lang="en-GB" sz="1100" b="1" baseline="0">
                <a:solidFill>
                  <a:schemeClr val="tx1"/>
                </a:solidFill>
              </a:rPr>
              <a:t> disabilities </a:t>
            </a:r>
            <a:r>
              <a:rPr lang="en-GB" sz="1100" b="1">
                <a:solidFill>
                  <a:schemeClr val="tx1"/>
                </a:solidFill>
              </a:rPr>
              <a:t>2020</a:t>
            </a:r>
          </a:p>
        </c:rich>
      </c:tx>
      <c:overlay val="0"/>
      <c:spPr>
        <a:noFill/>
        <a:ln>
          <a:noFill/>
        </a:ln>
        <a:effectLst/>
      </c:spPr>
      <c:txPr>
        <a:bodyPr rot="0" spcFirstLastPara="1" vertOverflow="ellipsis" vert="horz" wrap="square" anchor="ctr" anchorCtr="1"/>
        <a:lstStyle/>
        <a:p>
          <a:pPr>
            <a:defRPr sz="1100" b="1"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'Table 1.1'!$L$9</c:f>
              <c:strCache>
                <c:ptCount val="1"/>
                <c:pt idx="0">
                  <c:v>2020</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 1.1'!$M$8:$O$8</c:f>
              <c:strCache>
                <c:ptCount val="3"/>
                <c:pt idx="0">
                  <c:v>Employment rate of persons with disabilities
(%)</c:v>
                </c:pt>
                <c:pt idx="1">
                  <c:v>Employment rate of persons without disabilities
(%)</c:v>
                </c:pt>
                <c:pt idx="2">
                  <c:v>Disability employment gap
(pps)</c:v>
                </c:pt>
              </c:strCache>
            </c:strRef>
          </c:cat>
          <c:val>
            <c:numRef>
              <c:f>'Table 1.1'!$M$9:$O$9</c:f>
              <c:numCache>
                <c:formatCode>0.00</c:formatCode>
                <c:ptCount val="3"/>
                <c:pt idx="0">
                  <c:v>38.1</c:v>
                </c:pt>
                <c:pt idx="1">
                  <c:v>80.3</c:v>
                </c:pt>
                <c:pt idx="2">
                  <c:v>42.2</c:v>
                </c:pt>
              </c:numCache>
            </c:numRef>
          </c:val>
          <c:extLst>
            <c:ext xmlns:c16="http://schemas.microsoft.com/office/drawing/2014/chart" uri="{C3380CC4-5D6E-409C-BE32-E72D297353CC}">
              <c16:uniqueId val="{00000000-8568-4B1C-925A-4306AD635C07}"/>
            </c:ext>
          </c:extLst>
        </c:ser>
        <c:dLbls>
          <c:showLegendKey val="0"/>
          <c:showVal val="0"/>
          <c:showCatName val="0"/>
          <c:showSerName val="0"/>
          <c:showPercent val="0"/>
          <c:showBubbleSize val="0"/>
        </c:dLbls>
        <c:gapWidth val="219"/>
        <c:overlap val="-27"/>
        <c:axId val="560994808"/>
        <c:axId val="700934328"/>
      </c:barChart>
      <c:catAx>
        <c:axId val="560994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700934328"/>
        <c:crosses val="autoZero"/>
        <c:auto val="1"/>
        <c:lblAlgn val="ctr"/>
        <c:lblOffset val="100"/>
        <c:noMultiLvlLbl val="0"/>
      </c:catAx>
      <c:valAx>
        <c:axId val="7009343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GB">
                    <a:solidFill>
                      <a:schemeClr val="tx1"/>
                    </a:solidFill>
                  </a:rPr>
                  <a:t>Percentage </a:t>
                </a:r>
              </a:p>
              <a:p>
                <a:pPr>
                  <a:defRPr>
                    <a:solidFill>
                      <a:schemeClr val="tx1"/>
                    </a:solidFill>
                  </a:defRPr>
                </a:pPr>
                <a:endParaRPr lang="en-GB">
                  <a:solidFill>
                    <a:schemeClr val="tx1"/>
                  </a:solidFill>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560994808"/>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r>
              <a:rPr lang="en-GB" sz="1100" b="1">
                <a:solidFill>
                  <a:schemeClr val="tx1"/>
                </a:solidFill>
              </a:rPr>
              <a:t>Median gross</a:t>
            </a:r>
            <a:r>
              <a:rPr lang="en-GB" sz="1100" b="1" baseline="0">
                <a:solidFill>
                  <a:schemeClr val="tx1"/>
                </a:solidFill>
              </a:rPr>
              <a:t> hourly earnings (excluding overtime) by gender in NI, 2020</a:t>
            </a:r>
            <a:endParaRPr lang="en-GB" sz="1100" b="1">
              <a:solidFill>
                <a:schemeClr val="tx1"/>
              </a:solidFill>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Sheet1!$A$4</c:f>
              <c:strCache>
                <c:ptCount val="1"/>
                <c:pt idx="0">
                  <c:v>Male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Sheet1!$B$3:$D$3</c:f>
              <c:strCache>
                <c:ptCount val="3"/>
                <c:pt idx="0">
                  <c:v>Part-time</c:v>
                </c:pt>
                <c:pt idx="1">
                  <c:v>Full-time</c:v>
                </c:pt>
                <c:pt idx="2">
                  <c:v>All</c:v>
                </c:pt>
              </c:strCache>
            </c:strRef>
          </c:cat>
          <c:val>
            <c:numRef>
              <c:f>Sheet1!$B$4:$D$4</c:f>
              <c:numCache>
                <c:formatCode>"£"#,##0.00</c:formatCode>
                <c:ptCount val="3"/>
                <c:pt idx="0">
                  <c:v>9.6300000000000008</c:v>
                </c:pt>
                <c:pt idx="1">
                  <c:v>12.82</c:v>
                </c:pt>
                <c:pt idx="2">
                  <c:v>12.3</c:v>
                </c:pt>
              </c:numCache>
            </c:numRef>
          </c:val>
          <c:extLst>
            <c:ext xmlns:c16="http://schemas.microsoft.com/office/drawing/2014/chart" uri="{C3380CC4-5D6E-409C-BE32-E72D297353CC}">
              <c16:uniqueId val="{00000000-9C24-4905-A339-C53E2A42EA82}"/>
            </c:ext>
          </c:extLst>
        </c:ser>
        <c:ser>
          <c:idx val="1"/>
          <c:order val="1"/>
          <c:tx>
            <c:strRef>
              <c:f>Sheet1!$A$5</c:f>
              <c:strCache>
                <c:ptCount val="1"/>
                <c:pt idx="0">
                  <c:v>Female</c:v>
                </c:pt>
              </c:strCache>
            </c:strRef>
          </c:tx>
          <c:spPr>
            <a:solidFill>
              <a:schemeClr val="accent2"/>
            </a:solidFill>
            <a:ln>
              <a:noFill/>
            </a:ln>
            <a:effectLst/>
          </c:spPr>
          <c:invertIfNegative val="0"/>
          <c:dLbls>
            <c:dLbl>
              <c:idx val="1"/>
              <c:layout>
                <c:manualLayout>
                  <c:x val="2.6865671641791045E-2"/>
                  <c:y val="1.24223602484472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EAC-490F-8722-1ED4404B9AC2}"/>
                </c:ext>
              </c:extLst>
            </c:dLbl>
            <c:dLbl>
              <c:idx val="2"/>
              <c:layout>
                <c:manualLayout>
                  <c:x val="2.388059701492526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EAC-490F-8722-1ED4404B9AC2}"/>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Sheet1!$B$3:$D$3</c:f>
              <c:strCache>
                <c:ptCount val="3"/>
                <c:pt idx="0">
                  <c:v>Part-time</c:v>
                </c:pt>
                <c:pt idx="1">
                  <c:v>Full-time</c:v>
                </c:pt>
                <c:pt idx="2">
                  <c:v>All</c:v>
                </c:pt>
              </c:strCache>
            </c:strRef>
          </c:cat>
          <c:val>
            <c:numRef>
              <c:f>Sheet1!$B$5:$D$5</c:f>
              <c:numCache>
                <c:formatCode>"£"#,##0.00</c:formatCode>
                <c:ptCount val="3"/>
                <c:pt idx="0">
                  <c:v>9.8699999999999992</c:v>
                </c:pt>
                <c:pt idx="1">
                  <c:v>13.28</c:v>
                </c:pt>
                <c:pt idx="2">
                  <c:v>11.29</c:v>
                </c:pt>
              </c:numCache>
            </c:numRef>
          </c:val>
          <c:extLst>
            <c:ext xmlns:c16="http://schemas.microsoft.com/office/drawing/2014/chart" uri="{C3380CC4-5D6E-409C-BE32-E72D297353CC}">
              <c16:uniqueId val="{00000001-9C24-4905-A339-C53E2A42EA82}"/>
            </c:ext>
          </c:extLst>
        </c:ser>
        <c:dLbls>
          <c:showLegendKey val="0"/>
          <c:showVal val="0"/>
          <c:showCatName val="0"/>
          <c:showSerName val="0"/>
          <c:showPercent val="0"/>
          <c:showBubbleSize val="0"/>
        </c:dLbls>
        <c:gapWidth val="219"/>
        <c:overlap val="-27"/>
        <c:axId val="869717768"/>
        <c:axId val="869718096"/>
      </c:barChart>
      <c:catAx>
        <c:axId val="869717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869718096"/>
        <c:crosses val="autoZero"/>
        <c:auto val="1"/>
        <c:lblAlgn val="ctr"/>
        <c:lblOffset val="100"/>
        <c:noMultiLvlLbl val="0"/>
      </c:catAx>
      <c:valAx>
        <c:axId val="8697180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solidFill>
                      <a:schemeClr val="tx1"/>
                    </a:solidFill>
                  </a:rPr>
                  <a:t>Earnings per hour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quot;£&quot;#,##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9717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r>
              <a:rPr lang="en-US" sz="1100" b="1">
                <a:solidFill>
                  <a:schemeClr val="tx1"/>
                </a:solidFill>
              </a:rPr>
              <a:t>Underemployment</a:t>
            </a:r>
            <a:r>
              <a:rPr lang="en-US" sz="1100" b="1" baseline="0">
                <a:solidFill>
                  <a:schemeClr val="tx1"/>
                </a:solidFill>
              </a:rPr>
              <a:t> by Age Group in NI (16-64) 2019</a:t>
            </a:r>
            <a:endParaRPr lang="en-US" sz="1100" b="1">
              <a:solidFill>
                <a:schemeClr val="tx1"/>
              </a:solidFill>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'UND3'!$B$17</c:f>
              <c:strCache>
                <c:ptCount val="1"/>
                <c:pt idx="0">
                  <c:v>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'UND3'!$C$15:$G$16</c:f>
              <c:multiLvlStrCache>
                <c:ptCount val="5"/>
                <c:lvl>
                  <c:pt idx="0">
                    <c:v>16-24</c:v>
                  </c:pt>
                  <c:pt idx="1">
                    <c:v>25-34</c:v>
                  </c:pt>
                  <c:pt idx="2">
                    <c:v>35-44</c:v>
                  </c:pt>
                  <c:pt idx="3">
                    <c:v>45-54</c:v>
                  </c:pt>
                  <c:pt idx="4">
                    <c:v>55-64</c:v>
                  </c:pt>
                </c:lvl>
                <c:lvl>
                  <c:pt idx="0">
                    <c:v>ageband</c:v>
                  </c:pt>
                </c:lvl>
              </c:multiLvlStrCache>
            </c:multiLvlStrRef>
          </c:cat>
          <c:val>
            <c:numRef>
              <c:f>'UND3'!$C$17:$G$17</c:f>
              <c:numCache>
                <c:formatCode>0.0%</c:formatCode>
                <c:ptCount val="5"/>
                <c:pt idx="0">
                  <c:v>0.13500000000000001</c:v>
                </c:pt>
                <c:pt idx="1">
                  <c:v>6.9000000000000006E-2</c:v>
                </c:pt>
                <c:pt idx="2">
                  <c:v>4.9000000000000002E-2</c:v>
                </c:pt>
                <c:pt idx="3">
                  <c:v>5.7000000000000002E-2</c:v>
                </c:pt>
                <c:pt idx="4">
                  <c:v>4.8000000000000001E-2</c:v>
                </c:pt>
              </c:numCache>
            </c:numRef>
          </c:val>
          <c:extLst>
            <c:ext xmlns:c16="http://schemas.microsoft.com/office/drawing/2014/chart" uri="{C3380CC4-5D6E-409C-BE32-E72D297353CC}">
              <c16:uniqueId val="{00000000-A8A6-45F3-86F0-132AF70F431C}"/>
            </c:ext>
          </c:extLst>
        </c:ser>
        <c:dLbls>
          <c:showLegendKey val="0"/>
          <c:showVal val="0"/>
          <c:showCatName val="0"/>
          <c:showSerName val="0"/>
          <c:showPercent val="0"/>
          <c:showBubbleSize val="0"/>
        </c:dLbls>
        <c:gapWidth val="219"/>
        <c:overlap val="-27"/>
        <c:axId val="788081648"/>
        <c:axId val="788082304"/>
      </c:barChart>
      <c:catAx>
        <c:axId val="788081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788082304"/>
        <c:crosses val="autoZero"/>
        <c:auto val="1"/>
        <c:lblAlgn val="ctr"/>
        <c:lblOffset val="100"/>
        <c:noMultiLvlLbl val="0"/>
      </c:catAx>
      <c:valAx>
        <c:axId val="7880823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solidFill>
                      <a:schemeClr val="tx1"/>
                    </a:solidFill>
                  </a:rPr>
                  <a:t>Percentage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788081648"/>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r>
              <a:rPr lang="en-GB" sz="1100" b="1">
                <a:solidFill>
                  <a:schemeClr val="tx1"/>
                </a:solidFill>
              </a:rPr>
              <a:t>Percentage of families able</a:t>
            </a:r>
            <a:r>
              <a:rPr lang="en-GB" sz="1100" b="1" baseline="0">
                <a:solidFill>
                  <a:schemeClr val="tx1"/>
                </a:solidFill>
              </a:rPr>
              <a:t> to access preferred choice of childcare NI 2020</a:t>
            </a:r>
            <a:endParaRPr lang="en-GB" sz="1100" b="1">
              <a:solidFill>
                <a:schemeClr val="tx1"/>
              </a:solidFill>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Sheet1!$B$3</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Sheet1!$A$4:$A$8</c:f>
              <c:strCache>
                <c:ptCount val="5"/>
                <c:pt idx="0">
                  <c:v>Lone parent household</c:v>
                </c:pt>
                <c:pt idx="1">
                  <c:v>Male respondent</c:v>
                </c:pt>
                <c:pt idx="2">
                  <c:v>Female respondent</c:v>
                </c:pt>
                <c:pt idx="3">
                  <c:v>Respondent belongs to an ethnic minority group</c:v>
                </c:pt>
                <c:pt idx="4">
                  <c:v>Respondent has a disability</c:v>
                </c:pt>
              </c:strCache>
            </c:strRef>
          </c:cat>
          <c:val>
            <c:numRef>
              <c:f>Sheet1!$B$4:$B$8</c:f>
              <c:numCache>
                <c:formatCode>0%</c:formatCode>
                <c:ptCount val="5"/>
                <c:pt idx="0">
                  <c:v>0.56999999999999995</c:v>
                </c:pt>
                <c:pt idx="1">
                  <c:v>0.77</c:v>
                </c:pt>
                <c:pt idx="2">
                  <c:v>0.69</c:v>
                </c:pt>
                <c:pt idx="3">
                  <c:v>0.67</c:v>
                </c:pt>
                <c:pt idx="4">
                  <c:v>0.53</c:v>
                </c:pt>
              </c:numCache>
            </c:numRef>
          </c:val>
          <c:extLst>
            <c:ext xmlns:c16="http://schemas.microsoft.com/office/drawing/2014/chart" uri="{C3380CC4-5D6E-409C-BE32-E72D297353CC}">
              <c16:uniqueId val="{00000000-6B15-4855-91BF-E0D71E225971}"/>
            </c:ext>
          </c:extLst>
        </c:ser>
        <c:ser>
          <c:idx val="1"/>
          <c:order val="1"/>
          <c:tx>
            <c:strRef>
              <c:f>Sheet1!$C$3</c:f>
              <c:strCache>
                <c:ptCount val="1"/>
                <c:pt idx="0">
                  <c:v>No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Sheet1!$A$4:$A$8</c:f>
              <c:strCache>
                <c:ptCount val="5"/>
                <c:pt idx="0">
                  <c:v>Lone parent household</c:v>
                </c:pt>
                <c:pt idx="1">
                  <c:v>Male respondent</c:v>
                </c:pt>
                <c:pt idx="2">
                  <c:v>Female respondent</c:v>
                </c:pt>
                <c:pt idx="3">
                  <c:v>Respondent belongs to an ethnic minority group</c:v>
                </c:pt>
                <c:pt idx="4">
                  <c:v>Respondent has a disability</c:v>
                </c:pt>
              </c:strCache>
            </c:strRef>
          </c:cat>
          <c:val>
            <c:numRef>
              <c:f>Sheet1!$C$4:$C$8</c:f>
              <c:numCache>
                <c:formatCode>0%</c:formatCode>
                <c:ptCount val="5"/>
                <c:pt idx="0">
                  <c:v>0.43</c:v>
                </c:pt>
                <c:pt idx="1">
                  <c:v>0.23</c:v>
                </c:pt>
                <c:pt idx="2">
                  <c:v>0.31</c:v>
                </c:pt>
                <c:pt idx="3">
                  <c:v>0.33</c:v>
                </c:pt>
                <c:pt idx="4">
                  <c:v>0.47</c:v>
                </c:pt>
              </c:numCache>
            </c:numRef>
          </c:val>
          <c:extLst>
            <c:ext xmlns:c16="http://schemas.microsoft.com/office/drawing/2014/chart" uri="{C3380CC4-5D6E-409C-BE32-E72D297353CC}">
              <c16:uniqueId val="{00000001-6B15-4855-91BF-E0D71E225971}"/>
            </c:ext>
          </c:extLst>
        </c:ser>
        <c:dLbls>
          <c:showLegendKey val="0"/>
          <c:showVal val="0"/>
          <c:showCatName val="0"/>
          <c:showSerName val="0"/>
          <c:showPercent val="0"/>
          <c:showBubbleSize val="0"/>
        </c:dLbls>
        <c:gapWidth val="219"/>
        <c:overlap val="-27"/>
        <c:axId val="779489160"/>
        <c:axId val="779489488"/>
      </c:barChart>
      <c:catAx>
        <c:axId val="779489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779489488"/>
        <c:crosses val="autoZero"/>
        <c:auto val="1"/>
        <c:lblAlgn val="ctr"/>
        <c:lblOffset val="100"/>
        <c:noMultiLvlLbl val="0"/>
      </c:catAx>
      <c:valAx>
        <c:axId val="7794894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779489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04A65-2489-47D0-AC6E-06AF513B0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669</Words>
  <Characters>4010</Characters>
  <Application>Microsoft Office Word</Application>
  <DocSecurity>0</DocSecurity>
  <Lines>129</Lines>
  <Paragraphs>42</Paragraphs>
  <ScaleCrop>false</ScaleCrop>
  <HeadingPairs>
    <vt:vector size="2" baseType="variant">
      <vt:variant>
        <vt:lpstr>Title</vt:lpstr>
      </vt:variant>
      <vt:variant>
        <vt:i4>1</vt:i4>
      </vt:variant>
    </vt:vector>
  </HeadingPairs>
  <TitlesOfParts>
    <vt:vector size="1" baseType="lpstr">
      <vt:lpstr/>
    </vt:vector>
  </TitlesOfParts>
  <Company>Equality Commission</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Measuring Equality in NI - Example Statement Framework</dc:title>
  <dc:subject/>
  <dc:creator>Mark Soult</dc:creator>
  <cp:keywords/>
  <dc:description/>
  <cp:lastModifiedBy>Mark Soult</cp:lastModifiedBy>
  <cp:revision>13</cp:revision>
  <dcterms:created xsi:type="dcterms:W3CDTF">2022-01-19T09:31:00Z</dcterms:created>
  <dcterms:modified xsi:type="dcterms:W3CDTF">2022-01-19T12:43:00Z</dcterms:modified>
</cp:coreProperties>
</file>